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A3" w:rsidRPr="0004544F" w:rsidRDefault="001800A3" w:rsidP="001800A3">
      <w:pPr>
        <w:widowControl/>
        <w:adjustRightInd w:val="0"/>
        <w:snapToGrid w:val="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附件3</w:t>
      </w:r>
    </w:p>
    <w:p w:rsidR="001800A3" w:rsidRDefault="001800A3" w:rsidP="001800A3">
      <w:pPr>
        <w:widowControl/>
        <w:adjustRightInd w:val="0"/>
        <w:snapToGrid w:val="0"/>
        <w:spacing w:line="660" w:lineRule="exact"/>
        <w:jc w:val="center"/>
        <w:rPr>
          <w:rFonts w:ascii="方正小标宋简体" w:eastAsia="方正小标宋简体" w:hAnsi="宋体" w:cs="宋体" w:hint="eastAsia"/>
          <w:bCs/>
          <w:snapToGrid/>
          <w:color w:val="000000"/>
          <w:sz w:val="44"/>
          <w:szCs w:val="44"/>
        </w:rPr>
      </w:pPr>
    </w:p>
    <w:p w:rsidR="001800A3" w:rsidRPr="00E83FB4" w:rsidRDefault="001800A3" w:rsidP="001800A3">
      <w:pPr>
        <w:widowControl/>
        <w:adjustRightInd w:val="0"/>
        <w:snapToGrid w:val="0"/>
        <w:spacing w:line="660" w:lineRule="exact"/>
        <w:jc w:val="center"/>
        <w:rPr>
          <w:rFonts w:asciiTheme="minorEastAsia" w:eastAsiaTheme="minorEastAsia" w:hAnsiTheme="minorEastAsia" w:cs="宋体" w:hint="eastAsia"/>
          <w:b/>
          <w:bCs/>
          <w:snapToGrid/>
          <w:color w:val="000000"/>
          <w:sz w:val="44"/>
          <w:szCs w:val="44"/>
        </w:rPr>
      </w:pPr>
      <w:r w:rsidRPr="00E83FB4">
        <w:rPr>
          <w:rFonts w:asciiTheme="minorEastAsia" w:eastAsiaTheme="minorEastAsia" w:hAnsiTheme="minorEastAsia" w:cs="宋体" w:hint="eastAsia"/>
          <w:b/>
          <w:bCs/>
          <w:snapToGrid/>
          <w:color w:val="000000"/>
          <w:sz w:val="44"/>
          <w:szCs w:val="44"/>
        </w:rPr>
        <w:t>试点项目实施方案</w:t>
      </w:r>
    </w:p>
    <w:p w:rsidR="001800A3" w:rsidRPr="00E83FB4" w:rsidRDefault="001800A3" w:rsidP="001800A3">
      <w:pPr>
        <w:widowControl/>
        <w:adjustRightInd w:val="0"/>
        <w:snapToGrid w:val="0"/>
        <w:spacing w:beforeLines="20" w:afterLines="70" w:line="580" w:lineRule="exact"/>
        <w:jc w:val="center"/>
        <w:rPr>
          <w:rFonts w:ascii="楷体" w:eastAsia="楷体" w:hAnsi="楷体" w:cs="宋体" w:hint="eastAsia"/>
          <w:bCs/>
          <w:snapToGrid/>
          <w:color w:val="000000"/>
          <w:szCs w:val="32"/>
        </w:rPr>
      </w:pPr>
      <w:r w:rsidRPr="00E83FB4">
        <w:rPr>
          <w:rFonts w:ascii="楷体" w:eastAsia="楷体" w:hAnsi="楷体" w:cs="宋体" w:hint="eastAsia"/>
          <w:bCs/>
          <w:snapToGrid/>
          <w:color w:val="000000"/>
          <w:szCs w:val="32"/>
        </w:rPr>
        <w:t>（编写提纲）</w:t>
      </w:r>
    </w:p>
    <w:p w:rsidR="001800A3" w:rsidRPr="0004544F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一、工作基础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指开展供应链体系建设具备的现实基础（企业简介），特别是要介绍清楚项目实施具备的工作基础有哪些，在行业中的地位、影响力、市场份额等基本情况。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现有物流设施、设备、托盘、包装等情况（含标准、非标）；供应链平台的运营模式、盈利模式和市场前景。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企业建立标准体系情况（设施标准、管理标准、技术标准、服务标准）。</w:t>
      </w:r>
    </w:p>
    <w:p w:rsidR="001800A3" w:rsidRPr="0004544F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二、任务目标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指项目的建设任务、实现目标是什么，包括总体思路、建设原则、总体目标等。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例如：从托盘标准化切入，带动上下游设备标准化，……。从电商包装切入，带动物流配送包装的标准化、减量化、循环利用；形成一批模式先进、协同性强、辐射力广的供应链平台，供应链平台交易额提高多少，供应链交易管理成本下降多少。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试点后，企业标准托盘从目前…个提高到……个，其中标准托盘租赁从…个提高到……个，托盘租赁率从…%提高到…%；企业服务标准从多少项增加到多少项；企业装卸货</w:t>
      </w: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lastRenderedPageBreak/>
        <w:t>效率较目前提高…，货损率降低…，综合物流成本从目前的…%降低到  …%，带托运输从目前…%提高到…%。……</w:t>
      </w:r>
    </w:p>
    <w:p w:rsidR="001800A3" w:rsidRPr="0004544F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三、考核指标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围绕建设标准规格统一、追溯运行顺畅、链条衔接贯通的供应链体系，重点企业标准托盘使用率达到80%，装卸货效率提高2倍，货损率降低20%，综合物流成本降低10%；形成一批模式先进、协同性强、辐射力广的供应链平台，供应链平台交易额提高20%，供应链交易管理成本下降10%。请结合“附件1.供应链体系建设绩效评价表”有关指标纳入实施方案考核指标体系内。</w:t>
      </w:r>
    </w:p>
    <w:p w:rsidR="001800A3" w:rsidRPr="0004544F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四、建设内容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包括但不限于项目如何建，建设什么，总投资，如何通过建设内容来达成任务考核指标。</w:t>
      </w:r>
    </w:p>
    <w:p w:rsidR="001800A3" w:rsidRPr="0004544F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五、进度安排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指以月为单位，以终为始，倒排工期，将每个月应该完成的项目进度、工程进度排出完成时间表。</w:t>
      </w:r>
    </w:p>
    <w:p w:rsidR="001800A3" w:rsidRPr="0004544F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六、保障措施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组织保障、制度保障、资金保障（总投资、资金筹措渠道及分类预算）、团队保障（成立专门组织机构，项目负责人简历，项目拟投入的人员情况）、进度保障等</w:t>
      </w:r>
    </w:p>
    <w:p w:rsidR="001800A3" w:rsidRPr="0004544F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七、项目正式运营后产生的经济效益和社会效益分析</w:t>
      </w:r>
    </w:p>
    <w:p w:rsidR="001800A3" w:rsidRPr="00E83FB4" w:rsidRDefault="001800A3" w:rsidP="001800A3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snapToGrid/>
          <w:color w:val="000000"/>
          <w:szCs w:val="32"/>
        </w:rPr>
      </w:pPr>
      <w:r w:rsidRPr="00E83FB4">
        <w:rPr>
          <w:rFonts w:ascii="仿宋" w:eastAsia="仿宋" w:hAnsi="仿宋" w:cs="宋体" w:hint="eastAsia"/>
          <w:snapToGrid/>
          <w:color w:val="000000"/>
          <w:szCs w:val="32"/>
        </w:rPr>
        <w:t>经济效益，行业影响，社会影响效果分析等。</w:t>
      </w:r>
    </w:p>
    <w:p w:rsidR="006E36E7" w:rsidRDefault="006E36E7"/>
    <w:sectPr w:rsidR="006E36E7" w:rsidSect="006E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0A3"/>
    <w:rsid w:val="001800A3"/>
    <w:rsid w:val="006E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A3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2018-12-12T08:04:00Z</dcterms:created>
  <dcterms:modified xsi:type="dcterms:W3CDTF">2018-12-12T08:05:00Z</dcterms:modified>
</cp:coreProperties>
</file>