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ind w:left="16"/>
        <w:spacing w:before="101" w:line="413" w:lineRule="exact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position w:val="2"/>
        </w:rPr>
        <w:t>JNCR</w:t>
      </w:r>
      <w:r>
        <w:rPr>
          <w:rFonts w:ascii="SimHei" w:hAnsi="SimHei" w:eastAsia="SimHei" w:cs="SimHei"/>
          <w:sz w:val="31"/>
          <w:szCs w:val="31"/>
          <w:spacing w:val="2"/>
          <w:position w:val="2"/>
        </w:rPr>
        <w:t>-2024-0230001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pStyle w:val="BodyText"/>
        <w:ind w:left="172" w:right="2057"/>
        <w:spacing w:before="279" w:line="202" w:lineRule="auto"/>
        <w:jc w:val="both"/>
        <w:rPr/>
      </w:pPr>
      <w:r>
        <w:pict>
          <v:shape id="_x0000_s2" style="position:absolute;margin-left:350.372pt;margin-top:89.5318pt;mso-position-vertical-relative:text;mso-position-horizontal-relative:text;width:84.85pt;height:80.75pt;z-index:251658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22" w:line="203" w:lineRule="auto"/>
                    <w:jc w:val="right"/>
                    <w:rPr>
                      <w:sz w:val="120"/>
                      <w:szCs w:val="120"/>
                    </w:rPr>
                  </w:pPr>
                  <w:r>
                    <w:rPr>
                      <w:sz w:val="120"/>
                      <w:szCs w:val="120"/>
                      <w:color w:val="FF0000"/>
                      <w:spacing w:val="-24"/>
                      <w:w w:val="70"/>
                    </w:rPr>
                    <w:t>文</w:t>
                  </w:r>
                  <w:r>
                    <w:rPr>
                      <w:sz w:val="120"/>
                      <w:szCs w:val="120"/>
                      <w:color w:val="FF0000"/>
                      <w:w w:val="70"/>
                    </w:rPr>
                    <w:t>件</w:t>
                  </w:r>
                </w:p>
              </w:txbxContent>
            </v:textbox>
          </v:shape>
        </w:pict>
      </w:r>
      <w:r>
        <w:rPr>
          <w:color w:val="FF0000"/>
          <w:spacing w:val="-15"/>
        </w:rPr>
        <w:t>济</w:t>
      </w:r>
      <w:r>
        <w:rPr>
          <w:color w:val="FF0000"/>
          <w:spacing w:val="58"/>
        </w:rPr>
        <w:t xml:space="preserve">  </w:t>
      </w:r>
      <w:r>
        <w:rPr>
          <w:color w:val="FF0000"/>
          <w:spacing w:val="-15"/>
        </w:rPr>
        <w:t>南</w:t>
      </w:r>
      <w:r>
        <w:rPr>
          <w:color w:val="FF0000"/>
          <w:spacing w:val="62"/>
        </w:rPr>
        <w:t xml:space="preserve">  </w:t>
      </w:r>
      <w:r>
        <w:rPr>
          <w:color w:val="FF0000"/>
          <w:spacing w:val="-15"/>
        </w:rPr>
        <w:t>市</w:t>
      </w:r>
      <w:r>
        <w:rPr>
          <w:color w:val="FF0000"/>
          <w:spacing w:val="59"/>
        </w:rPr>
        <w:t xml:space="preserve">  </w:t>
      </w:r>
      <w:r>
        <w:rPr>
          <w:color w:val="FF0000"/>
          <w:spacing w:val="-15"/>
        </w:rPr>
        <w:t>商</w:t>
      </w:r>
      <w:r>
        <w:rPr>
          <w:color w:val="FF0000"/>
          <w:spacing w:val="56"/>
        </w:rPr>
        <w:t xml:space="preserve">  </w:t>
      </w:r>
      <w:r>
        <w:rPr>
          <w:color w:val="FF0000"/>
          <w:spacing w:val="-15"/>
        </w:rPr>
        <w:t>务</w:t>
      </w:r>
      <w:r>
        <w:rPr>
          <w:color w:val="FF0000"/>
          <w:spacing w:val="60"/>
        </w:rPr>
        <w:t xml:space="preserve">  </w:t>
      </w:r>
      <w:r>
        <w:rPr>
          <w:color w:val="FF0000"/>
          <w:spacing w:val="-15"/>
        </w:rPr>
        <w:t>局</w:t>
      </w:r>
      <w:r>
        <w:rPr>
          <w:color w:val="FF0000"/>
          <w:spacing w:val="1"/>
        </w:rPr>
        <w:t xml:space="preserve"> </w:t>
      </w:r>
      <w:r>
        <w:rPr>
          <w:color w:val="FF0000"/>
          <w:spacing w:val="-14"/>
        </w:rPr>
        <w:t>济</w:t>
      </w:r>
      <w:r>
        <w:rPr>
          <w:color w:val="FF0000"/>
          <w:spacing w:val="59"/>
        </w:rPr>
        <w:t xml:space="preserve">  </w:t>
      </w:r>
      <w:r>
        <w:rPr>
          <w:color w:val="FF0000"/>
          <w:spacing w:val="-14"/>
        </w:rPr>
        <w:t>南</w:t>
      </w:r>
      <w:r>
        <w:rPr>
          <w:color w:val="FF0000"/>
          <w:spacing w:val="62"/>
        </w:rPr>
        <w:t xml:space="preserve">  </w:t>
      </w:r>
      <w:r>
        <w:rPr>
          <w:color w:val="FF0000"/>
          <w:spacing w:val="-14"/>
        </w:rPr>
        <w:t>市</w:t>
      </w:r>
      <w:r>
        <w:rPr>
          <w:color w:val="FF0000"/>
          <w:spacing w:val="56"/>
        </w:rPr>
        <w:t xml:space="preserve">  </w:t>
      </w:r>
      <w:r>
        <w:rPr>
          <w:color w:val="FF0000"/>
          <w:spacing w:val="-14"/>
        </w:rPr>
        <w:t>财</w:t>
      </w:r>
      <w:r>
        <w:rPr>
          <w:color w:val="FF0000"/>
          <w:spacing w:val="55"/>
        </w:rPr>
        <w:t xml:space="preserve">  </w:t>
      </w:r>
      <w:r>
        <w:rPr>
          <w:color w:val="FF0000"/>
          <w:spacing w:val="-14"/>
        </w:rPr>
        <w:t>政</w:t>
      </w:r>
      <w:r>
        <w:rPr>
          <w:color w:val="FF0000"/>
          <w:spacing w:val="60"/>
        </w:rPr>
        <w:t xml:space="preserve">  </w:t>
      </w:r>
      <w:r>
        <w:rPr>
          <w:color w:val="FF0000"/>
          <w:spacing w:val="-14"/>
        </w:rPr>
        <w:t>局</w:t>
      </w:r>
      <w:r>
        <w:rPr>
          <w:color w:val="FF0000"/>
          <w:spacing w:val="1"/>
        </w:rPr>
        <w:t xml:space="preserve"> </w:t>
      </w:r>
      <w:r>
        <w:rPr>
          <w:color w:val="FF0000"/>
          <w:spacing w:val="15"/>
        </w:rPr>
        <w:t>济南市文化和旅游局</w:t>
      </w:r>
      <w:r>
        <w:rPr>
          <w:color w:val="FF0000"/>
          <w:spacing w:val="6"/>
        </w:rPr>
        <w:t xml:space="preserve"> </w:t>
      </w:r>
      <w:r>
        <w:rPr>
          <w:color w:val="FF0000"/>
          <w:spacing w:val="-19"/>
          <w:w w:val="94"/>
        </w:rPr>
        <w:t>济南市市场监督管理局</w:t>
      </w:r>
      <w:r>
        <w:rPr>
          <w:color w:val="FF0000"/>
          <w:spacing w:val="46"/>
        </w:rPr>
        <w:t xml:space="preserve"> </w:t>
      </w:r>
      <w:r>
        <w:rPr>
          <w:color w:val="FF0000"/>
          <w:spacing w:val="-15"/>
          <w:w w:val="90"/>
        </w:rPr>
        <w:t>济</w:t>
      </w:r>
      <w:r>
        <w:rPr>
          <w:color w:val="FF0000"/>
          <w:spacing w:val="15"/>
        </w:rPr>
        <w:t xml:space="preserve">   </w:t>
      </w:r>
      <w:r>
        <w:rPr>
          <w:color w:val="FF0000"/>
          <w:spacing w:val="-15"/>
          <w:w w:val="90"/>
        </w:rPr>
        <w:t>南</w:t>
      </w:r>
      <w:r>
        <w:rPr>
          <w:color w:val="FF0000"/>
          <w:spacing w:val="9"/>
        </w:rPr>
        <w:t xml:space="preserve">   </w:t>
      </w:r>
      <w:r>
        <w:rPr>
          <w:color w:val="FF0000"/>
          <w:spacing w:val="-15"/>
          <w:w w:val="90"/>
        </w:rPr>
        <w:t>市</w:t>
      </w:r>
      <w:r>
        <w:rPr>
          <w:color w:val="FF0000"/>
          <w:spacing w:val="6"/>
        </w:rPr>
        <w:t xml:space="preserve">   </w:t>
      </w:r>
      <w:r>
        <w:rPr>
          <w:color w:val="FF0000"/>
          <w:spacing w:val="-15"/>
          <w:w w:val="90"/>
        </w:rPr>
        <w:t>档</w:t>
      </w:r>
      <w:r>
        <w:rPr>
          <w:color w:val="FF0000"/>
          <w:spacing w:val="6"/>
        </w:rPr>
        <w:t xml:space="preserve">   </w:t>
      </w:r>
      <w:r>
        <w:rPr>
          <w:color w:val="FF0000"/>
          <w:spacing w:val="-15"/>
          <w:w w:val="90"/>
        </w:rPr>
        <w:t>案</w:t>
      </w:r>
      <w:r>
        <w:rPr>
          <w:color w:val="FF0000"/>
          <w:spacing w:val="5"/>
        </w:rPr>
        <w:t xml:space="preserve">   </w:t>
      </w:r>
      <w:r>
        <w:rPr>
          <w:color w:val="FF0000"/>
          <w:spacing w:val="-15"/>
          <w:w w:val="90"/>
        </w:rPr>
        <w:t>馆</w:t>
      </w:r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2829"/>
        <w:spacing w:before="100" w:line="220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济商务字〔2024〕52</w:t>
      </w:r>
      <w:r>
        <w:rPr>
          <w:rFonts w:ascii="FangSong_GB2312" w:hAnsi="FangSong_GB2312" w:eastAsia="FangSong_GB2312" w:cs="FangSong_GB2312"/>
          <w:sz w:val="31"/>
          <w:szCs w:val="31"/>
          <w:spacing w:val="-50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号</w:t>
      </w:r>
    </w:p>
    <w:p>
      <w:pPr>
        <w:spacing w:line="270" w:lineRule="auto"/>
        <w:rPr>
          <w:rFonts w:ascii="Arial"/>
          <w:sz w:val="21"/>
        </w:rPr>
      </w:pPr>
      <w:r>
        <w:pict>
          <v:shape id="_x0000_s4" style="position:absolute;margin-left:0.5pt;margin-top:3.07507pt;mso-position-vertical-relative:text;mso-position-horizontal-relative:text;width:442.25pt;height:1pt;z-index:251659264;" filled="false" strokecolor="#FF0000" strokeweight="1.00pt" coordsize="8845,20" coordorigin="0,0" path="m0,10l8844,10e">
            <v:stroke miterlimit="10"/>
          </v:shape>
        </w:pict>
      </w: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pStyle w:val="BodyText"/>
        <w:ind w:left="1372"/>
        <w:spacing w:before="167" w:line="238" w:lineRule="auto"/>
        <w:rPr>
          <w:sz w:val="43"/>
          <w:szCs w:val="43"/>
        </w:rPr>
      </w:pPr>
      <w:r>
        <w:rPr>
          <w:sz w:val="43"/>
          <w:szCs w:val="43"/>
          <w:spacing w:val="5"/>
        </w:rPr>
        <w:t>济南市商务局等</w:t>
      </w:r>
      <w:r>
        <w:rPr>
          <w:sz w:val="43"/>
          <w:szCs w:val="43"/>
          <w:spacing w:val="5"/>
        </w:rPr>
        <w:t xml:space="preserve"> </w:t>
      </w:r>
      <w:r>
        <w:rPr>
          <w:sz w:val="43"/>
          <w:szCs w:val="43"/>
          <w:spacing w:val="5"/>
        </w:rPr>
        <w:t>5</w:t>
      </w:r>
      <w:r>
        <w:rPr>
          <w:sz w:val="43"/>
          <w:szCs w:val="43"/>
          <w:spacing w:val="5"/>
        </w:rPr>
        <w:t xml:space="preserve"> </w:t>
      </w:r>
      <w:r>
        <w:rPr>
          <w:sz w:val="43"/>
          <w:szCs w:val="43"/>
          <w:spacing w:val="5"/>
        </w:rPr>
        <w:t>部门关于印发</w:t>
      </w:r>
    </w:p>
    <w:p>
      <w:pPr>
        <w:pStyle w:val="BodyText"/>
        <w:ind w:left="694"/>
        <w:spacing w:before="2" w:line="238" w:lineRule="auto"/>
        <w:outlineLvl w:val="0"/>
        <w:rPr>
          <w:sz w:val="43"/>
          <w:szCs w:val="43"/>
        </w:rPr>
      </w:pPr>
      <w:r>
        <w:rPr>
          <w:sz w:val="43"/>
          <w:szCs w:val="43"/>
          <w:spacing w:val="6"/>
        </w:rPr>
        <w:t>《济南老字号认定及管理办法》的通知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ind w:left="13" w:hanging="2"/>
        <w:spacing w:before="101" w:line="345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各区县（功能区）商务、财政、文化和旅游、市场监管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、档案主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管部门，有关行业协会：</w:t>
      </w:r>
    </w:p>
    <w:p>
      <w:pPr>
        <w:ind w:left="13" w:firstLine="641"/>
        <w:spacing w:before="2" w:line="342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18"/>
        </w:rPr>
        <w:t>为加强济南老字号规范管理，立足新发展阶段</w:t>
      </w: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，完整、准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确、全面贯彻新发展理念，</w:t>
      </w:r>
      <w:r>
        <w:rPr>
          <w:rFonts w:ascii="FangSong_GB2312" w:hAnsi="FangSong_GB2312" w:eastAsia="FangSong_GB2312" w:cs="FangSong_GB2312"/>
          <w:sz w:val="31"/>
          <w:szCs w:val="31"/>
          <w:spacing w:val="-78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促进老字号创新发展，充分发挥老字</w:t>
      </w:r>
    </w:p>
    <w:p>
      <w:pPr>
        <w:spacing w:line="342" w:lineRule="auto"/>
        <w:sectPr>
          <w:footerReference w:type="default" r:id="rId1"/>
          <w:pgSz w:w="11905" w:h="16840"/>
          <w:pgMar w:top="1431" w:right="1517" w:bottom="1508" w:left="1530" w:header="0" w:footer="1144" w:gutter="0"/>
        </w:sectPr>
        <w:rPr>
          <w:rFonts w:ascii="FangSong_GB2312" w:hAnsi="FangSong_GB2312" w:eastAsia="FangSong_GB2312" w:cs="FangSong_GB2312"/>
          <w:sz w:val="31"/>
          <w:szCs w:val="31"/>
        </w:rPr>
      </w:pPr>
    </w:p>
    <w:p>
      <w:pPr>
        <w:spacing w:line="319" w:lineRule="auto"/>
        <w:rPr>
          <w:rFonts w:ascii="Arial"/>
          <w:sz w:val="21"/>
        </w:rPr>
      </w:pPr>
      <w:r/>
    </w:p>
    <w:p>
      <w:pPr>
        <w:spacing w:line="320" w:lineRule="auto"/>
        <w:rPr>
          <w:rFonts w:ascii="Arial"/>
          <w:sz w:val="21"/>
        </w:rPr>
      </w:pPr>
      <w:r/>
    </w:p>
    <w:p>
      <w:pPr>
        <w:ind w:firstLine="2"/>
        <w:spacing w:before="100" w:line="345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号在商贸流通、消费促进、质量管理、技术创新、品牌建设、文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化传承等方面的示范引领作用，服务构建以国内大循环为主体、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国内国际双循环相互促进的新发展格局，市商务局、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市财政局、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市文化和旅游局、市市场监管局、市档案馆联合制定了《济南老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字号认定及管理办法》，现印发给你们，请遵照执行。</w:t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left="381"/>
        <w:spacing w:before="101" w:line="220" w:lineRule="auto"/>
        <w:rPr>
          <w:rFonts w:ascii="FangSong_GB2312" w:hAnsi="FangSong_GB2312" w:eastAsia="FangSong_GB2312" w:cs="FangSong_GB2312"/>
          <w:sz w:val="31"/>
          <w:szCs w:val="31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3670757</wp:posOffset>
            </wp:positionH>
            <wp:positionV relativeFrom="paragraph">
              <wp:posOffset>-653338</wp:posOffset>
            </wp:positionV>
            <wp:extent cx="1481327" cy="1469136"/>
            <wp:effectExtent l="0" t="0" r="0" b="0"/>
            <wp:wrapNone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81327" cy="1469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69545</wp:posOffset>
            </wp:positionH>
            <wp:positionV relativeFrom="paragraph">
              <wp:posOffset>-757731</wp:posOffset>
            </wp:positionV>
            <wp:extent cx="1554480" cy="1566671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54480" cy="1566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1861007</wp:posOffset>
            </wp:positionH>
            <wp:positionV relativeFrom="paragraph">
              <wp:posOffset>-725727</wp:posOffset>
            </wp:positionV>
            <wp:extent cx="1524000" cy="1524000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济南市商务局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 xml:space="preserve">      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济南市财政局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 xml:space="preserve">   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济南市文化和旅游局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ind w:left="949"/>
        <w:spacing w:before="100" w:line="220" w:lineRule="auto"/>
        <w:rPr>
          <w:rFonts w:ascii="FangSong_GB2312" w:hAnsi="FangSong_GB2312" w:eastAsia="FangSong_GB2312" w:cs="FangSong_GB2312"/>
          <w:sz w:val="31"/>
          <w:szCs w:val="31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819353</wp:posOffset>
            </wp:positionH>
            <wp:positionV relativeFrom="paragraph">
              <wp:posOffset>-806143</wp:posOffset>
            </wp:positionV>
            <wp:extent cx="1560576" cy="1548384"/>
            <wp:effectExtent l="0" t="0" r="0" b="0"/>
            <wp:wrapNone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60576" cy="1548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4384" behindDoc="1" locked="0" layoutInCell="1" allowOverlap="1">
            <wp:simplePos x="0" y="0"/>
            <wp:positionH relativeFrom="column">
              <wp:posOffset>3505403</wp:posOffset>
            </wp:positionH>
            <wp:positionV relativeFrom="paragraph">
              <wp:posOffset>-780235</wp:posOffset>
            </wp:positionV>
            <wp:extent cx="1560576" cy="1551432"/>
            <wp:effectExtent l="0" t="0" r="0" b="0"/>
            <wp:wrapNone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60576" cy="1551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济南市市场监督管理局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 xml:space="preserve">           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济南市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档案馆</w:t>
      </w:r>
    </w:p>
    <w:p>
      <w:pPr>
        <w:ind w:left="5565"/>
        <w:spacing w:before="212" w:line="221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-8"/>
        </w:rPr>
        <w:t>2024</w:t>
      </w:r>
      <w:r>
        <w:rPr>
          <w:rFonts w:ascii="FangSong_GB2312" w:hAnsi="FangSong_GB2312" w:eastAsia="FangSong_GB2312" w:cs="FangSong_GB2312"/>
          <w:sz w:val="31"/>
          <w:szCs w:val="31"/>
          <w:spacing w:val="-54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8"/>
        </w:rPr>
        <w:t>年</w:t>
      </w:r>
      <w:r>
        <w:rPr>
          <w:rFonts w:ascii="FangSong_GB2312" w:hAnsi="FangSong_GB2312" w:eastAsia="FangSong_GB2312" w:cs="FangSong_GB2312"/>
          <w:sz w:val="31"/>
          <w:szCs w:val="31"/>
          <w:spacing w:val="-54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8"/>
        </w:rPr>
        <w:t>6</w:t>
      </w:r>
      <w:r>
        <w:rPr>
          <w:rFonts w:ascii="FangSong_GB2312" w:hAnsi="FangSong_GB2312" w:eastAsia="FangSong_GB2312" w:cs="FangSong_GB2312"/>
          <w:sz w:val="31"/>
          <w:szCs w:val="31"/>
          <w:spacing w:val="-49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8"/>
        </w:rPr>
        <w:t>月</w:t>
      </w:r>
      <w:r>
        <w:rPr>
          <w:rFonts w:ascii="FangSong_GB2312" w:hAnsi="FangSong_GB2312" w:eastAsia="FangSong_GB2312" w:cs="FangSong_GB2312"/>
          <w:sz w:val="31"/>
          <w:szCs w:val="31"/>
          <w:spacing w:val="-54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8"/>
        </w:rPr>
        <w:t>27</w:t>
      </w:r>
      <w:r>
        <w:rPr>
          <w:rFonts w:ascii="FangSong_GB2312" w:hAnsi="FangSong_GB2312" w:eastAsia="FangSong_GB2312" w:cs="FangSong_GB2312"/>
          <w:sz w:val="31"/>
          <w:szCs w:val="31"/>
          <w:spacing w:val="-8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8"/>
        </w:rPr>
        <w:t>日</w:t>
      </w:r>
    </w:p>
    <w:p>
      <w:pPr>
        <w:spacing w:line="323" w:lineRule="auto"/>
        <w:rPr>
          <w:rFonts w:ascii="Arial"/>
          <w:sz w:val="21"/>
        </w:rPr>
      </w:pPr>
      <w:r/>
    </w:p>
    <w:p>
      <w:pPr>
        <w:spacing w:line="323" w:lineRule="auto"/>
        <w:rPr>
          <w:rFonts w:ascii="Arial"/>
          <w:sz w:val="21"/>
        </w:rPr>
      </w:pPr>
      <w:r/>
    </w:p>
    <w:p>
      <w:pPr>
        <w:ind w:left="613"/>
        <w:spacing w:before="101" w:line="220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（此件公开发布）</w:t>
      </w:r>
    </w:p>
    <w:p>
      <w:pPr>
        <w:spacing w:line="220" w:lineRule="auto"/>
        <w:sectPr>
          <w:footerReference w:type="default" r:id="rId2"/>
          <w:pgSz w:w="11905" w:h="16840"/>
          <w:pgMar w:top="1431" w:right="1517" w:bottom="1508" w:left="1553" w:header="0" w:footer="1144" w:gutter="0"/>
        </w:sectPr>
        <w:rPr>
          <w:rFonts w:ascii="FangSong_GB2312" w:hAnsi="FangSong_GB2312" w:eastAsia="FangSong_GB2312" w:cs="FangSong_GB2312"/>
          <w:sz w:val="31"/>
          <w:szCs w:val="31"/>
        </w:rPr>
      </w:pPr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pStyle w:val="BodyText"/>
        <w:ind w:left="1803"/>
        <w:spacing w:before="166" w:line="239" w:lineRule="auto"/>
        <w:outlineLvl w:val="1"/>
        <w:rPr>
          <w:sz w:val="43"/>
          <w:szCs w:val="43"/>
        </w:rPr>
      </w:pPr>
      <w:r>
        <w:rPr>
          <w:sz w:val="43"/>
          <w:szCs w:val="43"/>
          <w:spacing w:val="6"/>
        </w:rPr>
        <w:t>济南老字号认定及管理办法</w:t>
      </w:r>
    </w:p>
    <w:p>
      <w:pPr>
        <w:spacing w:line="387" w:lineRule="auto"/>
        <w:rPr>
          <w:rFonts w:ascii="Arial"/>
          <w:sz w:val="21"/>
        </w:rPr>
      </w:pPr>
      <w:r/>
    </w:p>
    <w:p>
      <w:pPr>
        <w:ind w:left="3323"/>
        <w:spacing w:before="100" w:line="228" w:lineRule="auto"/>
        <w:outlineLvl w:val="1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1"/>
        </w:rPr>
        <w:t>第一章</w:t>
      </w:r>
      <w:r>
        <w:rPr>
          <w:rFonts w:ascii="SimHei" w:hAnsi="SimHei" w:eastAsia="SimHei" w:cs="SimHei"/>
          <w:sz w:val="31"/>
          <w:szCs w:val="31"/>
          <w:spacing w:val="12"/>
        </w:rPr>
        <w:t xml:space="preserve">  </w:t>
      </w:r>
      <w:r>
        <w:rPr>
          <w:rFonts w:ascii="SimHei" w:hAnsi="SimHei" w:eastAsia="SimHei" w:cs="SimHei"/>
          <w:sz w:val="31"/>
          <w:szCs w:val="31"/>
          <w:spacing w:val="1"/>
        </w:rPr>
        <w:t>总</w:t>
      </w:r>
      <w:r>
        <w:rPr>
          <w:rFonts w:ascii="SimHei" w:hAnsi="SimHei" w:eastAsia="SimHei" w:cs="SimHei"/>
          <w:sz w:val="31"/>
          <w:szCs w:val="31"/>
          <w:spacing w:val="1"/>
        </w:rPr>
        <w:t xml:space="preserve">  </w:t>
      </w:r>
      <w:r>
        <w:rPr>
          <w:rFonts w:ascii="SimHei" w:hAnsi="SimHei" w:eastAsia="SimHei" w:cs="SimHei"/>
          <w:sz w:val="31"/>
          <w:szCs w:val="31"/>
          <w:spacing w:val="1"/>
        </w:rPr>
        <w:t>则</w:t>
      </w:r>
    </w:p>
    <w:p>
      <w:pPr>
        <w:spacing w:line="314" w:lineRule="auto"/>
        <w:rPr>
          <w:rFonts w:ascii="Arial"/>
          <w:sz w:val="21"/>
        </w:rPr>
      </w:pPr>
      <w:r/>
    </w:p>
    <w:p>
      <w:pPr>
        <w:ind w:firstLine="639"/>
        <w:spacing w:before="101" w:line="334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15"/>
        </w:rPr>
        <w:t>第一条</w:t>
      </w:r>
      <w:r>
        <w:rPr>
          <w:rFonts w:ascii="SimHei" w:hAnsi="SimHei" w:eastAsia="SimHei" w:cs="SimHei"/>
          <w:sz w:val="31"/>
          <w:szCs w:val="31"/>
          <w:spacing w:val="15"/>
        </w:rPr>
        <w:t xml:space="preserve">  </w:t>
      </w:r>
      <w:r>
        <w:rPr>
          <w:rFonts w:ascii="FangSong_GB2312" w:hAnsi="FangSong_GB2312" w:eastAsia="FangSong_GB2312" w:cs="FangSong_GB2312"/>
          <w:sz w:val="31"/>
          <w:szCs w:val="31"/>
          <w:spacing w:val="15"/>
        </w:rPr>
        <w:t>根据商务部等</w:t>
      </w:r>
      <w:r>
        <w:rPr>
          <w:rFonts w:ascii="FangSong_GB2312" w:hAnsi="FangSong_GB2312" w:eastAsia="FangSong_GB2312" w:cs="FangSong_GB2312"/>
          <w:sz w:val="31"/>
          <w:szCs w:val="31"/>
          <w:spacing w:val="-38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5"/>
        </w:rPr>
        <w:t>5</w:t>
      </w:r>
      <w:r>
        <w:rPr>
          <w:rFonts w:ascii="FangSong_GB2312" w:hAnsi="FangSong_GB2312" w:eastAsia="FangSong_GB2312" w:cs="FangSong_GB2312"/>
          <w:sz w:val="31"/>
          <w:szCs w:val="31"/>
          <w:spacing w:val="-52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5"/>
        </w:rPr>
        <w:t>部门关于印发《中华老字号</w:t>
      </w:r>
      <w:r>
        <w:rPr>
          <w:rFonts w:ascii="FangSong_GB2312" w:hAnsi="FangSong_GB2312" w:eastAsia="FangSong_GB2312" w:cs="FangSong_GB2312"/>
          <w:sz w:val="31"/>
          <w:szCs w:val="31"/>
          <w:spacing w:val="14"/>
        </w:rPr>
        <w:t>示范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创建管理办法》的通知（商流通规范〔2023〕6</w:t>
      </w:r>
      <w:r>
        <w:rPr>
          <w:rFonts w:ascii="FangSong_GB2312" w:hAnsi="FangSong_GB2312" w:eastAsia="FangSong_GB2312" w:cs="FangSong_GB2312"/>
          <w:sz w:val="31"/>
          <w:szCs w:val="31"/>
          <w:spacing w:val="-49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号）、《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商务部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50"/>
        </w:rPr>
        <w:t>等</w:t>
      </w:r>
      <w:r>
        <w:rPr>
          <w:rFonts w:ascii="FangSong_GB2312" w:hAnsi="FangSong_GB2312" w:eastAsia="FangSong_GB2312" w:cs="FangSong_GB2312"/>
          <w:sz w:val="31"/>
          <w:szCs w:val="31"/>
          <w:spacing w:val="50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50"/>
        </w:rPr>
        <w:t>8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50"/>
        </w:rPr>
        <w:t>部门关于促进老字号创新发展的意见》（商流通发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2"/>
        </w:rPr>
        <w:t>〔2022〕11</w:t>
      </w:r>
      <w:r>
        <w:rPr>
          <w:rFonts w:ascii="FangSong_GB2312" w:hAnsi="FangSong_GB2312" w:eastAsia="FangSong_GB2312" w:cs="FangSong_GB2312"/>
          <w:sz w:val="31"/>
          <w:szCs w:val="31"/>
          <w:spacing w:val="-44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2"/>
        </w:rPr>
        <w:t>号）、《山东省人民政府办公厅关于促进</w:t>
      </w:r>
      <w:r>
        <w:rPr>
          <w:rFonts w:ascii="FangSong_GB2312" w:hAnsi="FangSong_GB2312" w:eastAsia="FangSong_GB2312" w:cs="FangSong_GB2312"/>
          <w:sz w:val="31"/>
          <w:szCs w:val="31"/>
          <w:spacing w:val="11"/>
        </w:rPr>
        <w:t>老字号高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质量发展的意见》（鲁政办字〔2022〕104</w:t>
      </w:r>
      <w:r>
        <w:rPr>
          <w:rFonts w:ascii="FangSong_GB2312" w:hAnsi="FangSong_GB2312" w:eastAsia="FangSong_GB2312" w:cs="FangSong_GB2312"/>
          <w:sz w:val="31"/>
          <w:szCs w:val="31"/>
          <w:spacing w:val="-50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号）、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山东省商务厅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5"/>
        </w:rPr>
        <w:t>等</w:t>
      </w:r>
      <w:r>
        <w:rPr>
          <w:rFonts w:ascii="FangSong_GB2312" w:hAnsi="FangSong_GB2312" w:eastAsia="FangSong_GB2312" w:cs="FangSong_GB2312"/>
          <w:sz w:val="31"/>
          <w:szCs w:val="31"/>
          <w:spacing w:val="-29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5"/>
        </w:rPr>
        <w:t>5</w:t>
      </w:r>
      <w:r>
        <w:rPr>
          <w:rFonts w:ascii="FangSong_GB2312" w:hAnsi="FangSong_GB2312" w:eastAsia="FangSong_GB2312" w:cs="FangSong_GB2312"/>
          <w:sz w:val="31"/>
          <w:szCs w:val="31"/>
          <w:spacing w:val="-52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5"/>
        </w:rPr>
        <w:t>部门关于印发《山东老字号认定及管理办法》的通知（鲁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5"/>
        </w:rPr>
        <w:t>商发〔2024〕3</w:t>
      </w:r>
      <w:r>
        <w:rPr>
          <w:rFonts w:ascii="FangSong_GB2312" w:hAnsi="FangSong_GB2312" w:eastAsia="FangSong_GB2312" w:cs="FangSong_GB2312"/>
          <w:sz w:val="31"/>
          <w:szCs w:val="31"/>
          <w:spacing w:val="15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5"/>
        </w:rPr>
        <w:t>号）等文件要求，立足新发展阶段，完整、准</w:t>
      </w:r>
      <w:r>
        <w:rPr>
          <w:rFonts w:ascii="FangSong_GB2312" w:hAnsi="FangSong_GB2312" w:eastAsia="FangSong_GB2312" w:cs="FangSong_GB2312"/>
          <w:sz w:val="31"/>
          <w:szCs w:val="31"/>
          <w:spacing w:val="18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确、全面贯彻新发展理念，</w:t>
      </w:r>
      <w:r>
        <w:rPr>
          <w:rFonts w:ascii="FangSong_GB2312" w:hAnsi="FangSong_GB2312" w:eastAsia="FangSong_GB2312" w:cs="FangSong_GB2312"/>
          <w:sz w:val="31"/>
          <w:szCs w:val="31"/>
          <w:spacing w:val="-69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促进老字号创新发展，充分发挥老字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号在商贸流通、消费促进、质量管理、技术创新、品牌建设、文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化传承等方面的示范引领作用，服务构建以国内大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循环为主体、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国内国际双循环相互促进的新发展格局，制定本办法。</w:t>
      </w:r>
    </w:p>
    <w:p>
      <w:pPr>
        <w:ind w:left="4" w:firstLine="634"/>
        <w:spacing w:before="210" w:line="314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17"/>
        </w:rPr>
        <w:t>第二条</w:t>
      </w:r>
      <w:r>
        <w:rPr>
          <w:rFonts w:ascii="SimHei" w:hAnsi="SimHei" w:eastAsia="SimHei" w:cs="SimHei"/>
          <w:sz w:val="31"/>
          <w:szCs w:val="31"/>
          <w:spacing w:val="17"/>
        </w:rPr>
        <w:t xml:space="preserve">  </w:t>
      </w: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本办法所称“济南老字号”是指厚植济南文化和</w:t>
      </w:r>
      <w:r>
        <w:rPr>
          <w:rFonts w:ascii="FangSong_GB2312" w:hAnsi="FangSong_GB2312" w:eastAsia="FangSong_GB2312" w:cs="FangSong_GB2312"/>
          <w:sz w:val="31"/>
          <w:szCs w:val="31"/>
          <w:spacing w:val="12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地域特色，历史底蕴深厚、文化特色鲜明、工艺技术独特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、设计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制造精良、产品服务优质、营销渠道高效、社会广泛认同的济南</w:t>
      </w:r>
      <w:r>
        <w:rPr>
          <w:rFonts w:ascii="FangSong_GB2312" w:hAnsi="FangSong_GB2312" w:eastAsia="FangSong_GB2312" w:cs="FangSong_GB2312"/>
          <w:sz w:val="31"/>
          <w:szCs w:val="31"/>
          <w:spacing w:val="10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</w:rPr>
        <w:t>本地品牌（字号、商标等）。</w:t>
      </w:r>
    </w:p>
    <w:p>
      <w:pPr>
        <w:ind w:firstLine="639"/>
        <w:spacing w:before="209" w:line="304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14"/>
        </w:rPr>
        <w:t>第三条</w:t>
      </w:r>
      <w:r>
        <w:rPr>
          <w:rFonts w:ascii="SimHei" w:hAnsi="SimHei" w:eastAsia="SimHei" w:cs="SimHei"/>
          <w:sz w:val="31"/>
          <w:szCs w:val="31"/>
          <w:spacing w:val="14"/>
        </w:rPr>
        <w:t xml:space="preserve">  </w:t>
      </w:r>
      <w:r>
        <w:rPr>
          <w:rFonts w:ascii="FangSong_GB2312" w:hAnsi="FangSong_GB2312" w:eastAsia="FangSong_GB2312" w:cs="FangSong_GB2312"/>
          <w:sz w:val="31"/>
          <w:szCs w:val="31"/>
          <w:spacing w:val="14"/>
        </w:rPr>
        <w:t>市商务局负责济南老字号认定及管理相关工作，</w:t>
      </w:r>
      <w:r>
        <w:rPr>
          <w:rFonts w:ascii="FangSong_GB2312" w:hAnsi="FangSong_GB2312" w:eastAsia="FangSong_GB2312" w:cs="FangSong_GB2312"/>
          <w:sz w:val="31"/>
          <w:szCs w:val="31"/>
          <w:spacing w:val="14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会同市财政局、市文化和旅游局、市市场监督管理局、市档案馆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（以下称相关部门）将符合本办法第二条、第六条、第七条规定</w:t>
      </w:r>
    </w:p>
    <w:p>
      <w:pPr>
        <w:spacing w:line="304" w:lineRule="auto"/>
        <w:sectPr>
          <w:footerReference w:type="default" r:id="rId8"/>
          <w:pgSz w:w="11905" w:h="16840"/>
          <w:pgMar w:top="1431" w:right="1518" w:bottom="1508" w:left="1534" w:header="0" w:footer="1146" w:gutter="0"/>
        </w:sectPr>
        <w:rPr>
          <w:rFonts w:ascii="FangSong_GB2312" w:hAnsi="FangSong_GB2312" w:eastAsia="FangSong_GB2312" w:cs="FangSong_GB2312"/>
          <w:sz w:val="31"/>
          <w:szCs w:val="31"/>
        </w:rPr>
      </w:pPr>
    </w:p>
    <w:p>
      <w:pPr>
        <w:spacing w:line="319" w:lineRule="auto"/>
        <w:rPr>
          <w:rFonts w:ascii="Arial"/>
          <w:sz w:val="21"/>
        </w:rPr>
      </w:pPr>
      <w:r/>
    </w:p>
    <w:p>
      <w:pPr>
        <w:spacing w:line="320" w:lineRule="auto"/>
        <w:rPr>
          <w:rFonts w:ascii="Arial"/>
          <w:sz w:val="21"/>
        </w:rPr>
      </w:pPr>
      <w:r/>
    </w:p>
    <w:p>
      <w:pPr>
        <w:ind w:left="18" w:firstLine="13"/>
        <w:spacing w:before="101" w:line="344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16"/>
        </w:rPr>
        <w:t>的品牌认定为济南老字号，将其所属企业认定为济南老字号企</w:t>
      </w:r>
      <w:r>
        <w:rPr>
          <w:rFonts w:ascii="FangSong_GB2312" w:hAnsi="FangSong_GB2312" w:eastAsia="FangSong_GB2312" w:cs="FangSong_GB2312"/>
          <w:sz w:val="31"/>
          <w:szCs w:val="31"/>
          <w:spacing w:val="14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2"/>
        </w:rPr>
        <w:t>业，建立济南老字号名录。</w:t>
      </w:r>
    </w:p>
    <w:p>
      <w:pPr>
        <w:ind w:left="15" w:right="8" w:firstLine="622"/>
        <w:spacing w:before="2" w:line="283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17"/>
        </w:rPr>
        <w:t>第四条</w:t>
      </w:r>
      <w:r>
        <w:rPr>
          <w:rFonts w:ascii="SimHei" w:hAnsi="SimHei" w:eastAsia="SimHei" w:cs="SimHei"/>
          <w:sz w:val="31"/>
          <w:szCs w:val="31"/>
          <w:spacing w:val="17"/>
        </w:rPr>
        <w:t xml:space="preserve">  </w:t>
      </w: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济南老字号的认定和管理遵循“公开、公平、公</w:t>
      </w:r>
      <w:r>
        <w:rPr>
          <w:rFonts w:ascii="FangSong_GB2312" w:hAnsi="FangSong_GB2312" w:eastAsia="FangSong_GB2312" w:cs="FangSong_GB2312"/>
          <w:sz w:val="31"/>
          <w:szCs w:val="31"/>
          <w:spacing w:val="1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正”和“政府倡导、企业自愿、优中择优、动态管理”的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原则。</w:t>
      </w:r>
    </w:p>
    <w:p>
      <w:pPr>
        <w:ind w:firstLine="637"/>
        <w:spacing w:before="206" w:line="321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17"/>
        </w:rPr>
        <w:t>第五条</w:t>
      </w:r>
      <w:r>
        <w:rPr>
          <w:rFonts w:ascii="SimHei" w:hAnsi="SimHei" w:eastAsia="SimHei" w:cs="SimHei"/>
          <w:sz w:val="31"/>
          <w:szCs w:val="31"/>
          <w:spacing w:val="17"/>
        </w:rPr>
        <w:t xml:space="preserve">  </w:t>
      </w: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济南老字号认定以企业为主体，认定企业为济南</w:t>
      </w:r>
      <w:r>
        <w:rPr>
          <w:rFonts w:ascii="FangSong_GB2312" w:hAnsi="FangSong_GB2312" w:eastAsia="FangSong_GB2312" w:cs="FangSong_GB2312"/>
          <w:sz w:val="31"/>
          <w:szCs w:val="31"/>
          <w:spacing w:val="13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市行政区域内依法注册并正常运营的企业。企业应当注</w:t>
      </w:r>
      <w:r>
        <w:rPr>
          <w:rFonts w:ascii="FangSong_GB2312" w:hAnsi="FangSong_GB2312" w:eastAsia="FangSong_GB2312" w:cs="FangSong_GB2312"/>
          <w:sz w:val="31"/>
          <w:szCs w:val="31"/>
          <w:spacing w:val="16"/>
        </w:rPr>
        <w:t>重在理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念、设计、研发、工艺、技术、制造、产品、服务、经营、营</w:t>
      </w:r>
      <w:r>
        <w:rPr>
          <w:rFonts w:ascii="FangSong_GB2312" w:hAnsi="FangSong_GB2312" w:eastAsia="FangSong_GB2312" w:cs="FangSong_GB2312"/>
          <w:sz w:val="31"/>
          <w:szCs w:val="31"/>
          <w:spacing w:val="18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销、管理等各方面的守正创新、与时俱进，彰显经济价值和文化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13"/>
        </w:rPr>
        <w:t>价值。</w:t>
      </w:r>
    </w:p>
    <w:p>
      <w:pPr>
        <w:spacing w:line="323" w:lineRule="auto"/>
        <w:rPr>
          <w:rFonts w:ascii="Arial"/>
          <w:sz w:val="21"/>
        </w:rPr>
      </w:pPr>
      <w:r/>
    </w:p>
    <w:p>
      <w:pPr>
        <w:ind w:left="3163"/>
        <w:spacing w:before="101" w:line="228" w:lineRule="auto"/>
        <w:outlineLvl w:val="1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4"/>
        </w:rPr>
        <w:t>第二章</w:t>
      </w:r>
      <w:r>
        <w:rPr>
          <w:rFonts w:ascii="SimHei" w:hAnsi="SimHei" w:eastAsia="SimHei" w:cs="SimHei"/>
          <w:sz w:val="31"/>
          <w:szCs w:val="31"/>
          <w:spacing w:val="4"/>
        </w:rPr>
        <w:t xml:space="preserve">  </w:t>
      </w:r>
      <w:r>
        <w:rPr>
          <w:rFonts w:ascii="SimHei" w:hAnsi="SimHei" w:eastAsia="SimHei" w:cs="SimHei"/>
          <w:sz w:val="31"/>
          <w:szCs w:val="31"/>
          <w:spacing w:val="4"/>
        </w:rPr>
        <w:t>认定条件</w:t>
      </w:r>
    </w:p>
    <w:p>
      <w:pPr>
        <w:spacing w:line="313" w:lineRule="auto"/>
        <w:rPr>
          <w:rFonts w:ascii="Arial"/>
          <w:sz w:val="21"/>
        </w:rPr>
      </w:pPr>
      <w:r/>
    </w:p>
    <w:p>
      <w:pPr>
        <w:ind w:left="637"/>
        <w:spacing w:before="101" w:line="223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1"/>
        </w:rPr>
        <w:t>第六条</w:t>
      </w:r>
      <w:r>
        <w:rPr>
          <w:rFonts w:ascii="SimHei" w:hAnsi="SimHei" w:eastAsia="SimHei" w:cs="SimHei"/>
          <w:sz w:val="31"/>
          <w:szCs w:val="31"/>
          <w:spacing w:val="1"/>
        </w:rPr>
        <w:t xml:space="preserve">  </w:t>
      </w:r>
      <w:r>
        <w:rPr>
          <w:rFonts w:ascii="FangSong_GB2312" w:hAnsi="FangSong_GB2312" w:eastAsia="FangSong_GB2312" w:cs="FangSong_GB2312"/>
          <w:sz w:val="31"/>
          <w:szCs w:val="31"/>
          <w:spacing w:val="1"/>
        </w:rPr>
        <w:t>济南老字号应当具备以下基本条件：</w:t>
      </w:r>
    </w:p>
    <w:p>
      <w:pPr>
        <w:ind w:left="630"/>
        <w:spacing w:before="202" w:line="221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-1"/>
        </w:rPr>
        <w:t>（一）品牌创立时间在</w:t>
      </w:r>
      <w:r>
        <w:rPr>
          <w:rFonts w:ascii="FangSong_GB2312" w:hAnsi="FangSong_GB2312" w:eastAsia="FangSong_GB2312" w:cs="FangSong_GB2312"/>
          <w:sz w:val="31"/>
          <w:szCs w:val="31"/>
          <w:spacing w:val="-46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1"/>
        </w:rPr>
        <w:t>30</w:t>
      </w:r>
      <w:r>
        <w:rPr>
          <w:rFonts w:ascii="FangSong_GB2312" w:hAnsi="FangSong_GB2312" w:eastAsia="FangSong_GB2312" w:cs="FangSong_GB2312"/>
          <w:sz w:val="31"/>
          <w:szCs w:val="31"/>
          <w:spacing w:val="-64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1"/>
        </w:rPr>
        <w:t>年（含）以上；</w:t>
      </w:r>
    </w:p>
    <w:p>
      <w:pPr>
        <w:ind w:left="630"/>
        <w:spacing w:before="211" w:line="220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（二）具有鲜明的中华民族特色和济南地域文化特征；</w:t>
      </w:r>
    </w:p>
    <w:p>
      <w:pPr>
        <w:ind w:left="45" w:right="50" w:firstLine="584"/>
        <w:spacing w:before="213" w:line="282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30"/>
        </w:rPr>
        <w:t>（三）面向居民生活提供经济价值、文化价值较高的产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1"/>
        </w:rPr>
        <w:t>品、技艺或服务；</w:t>
      </w:r>
    </w:p>
    <w:p>
      <w:pPr>
        <w:ind w:left="11" w:right="46" w:firstLine="618"/>
        <w:spacing w:before="212" w:line="282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30"/>
        </w:rPr>
        <w:t>（四）在所属行业或领域内具有代表性、引领性和示范</w:t>
      </w:r>
      <w:r>
        <w:rPr>
          <w:rFonts w:ascii="FangSong_GB2312" w:hAnsi="FangSong_GB2312" w:eastAsia="FangSong_GB2312" w:cs="FangSong_GB2312"/>
          <w:sz w:val="31"/>
          <w:szCs w:val="31"/>
          <w:spacing w:val="1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"/>
        </w:rPr>
        <w:t>性，得到广泛的社会认同和赞誉。</w:t>
      </w:r>
    </w:p>
    <w:p>
      <w:pPr>
        <w:ind w:left="637"/>
        <w:spacing w:before="211" w:line="223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1"/>
        </w:rPr>
        <w:t>第七条</w:t>
      </w:r>
      <w:r>
        <w:rPr>
          <w:rFonts w:ascii="SimHei" w:hAnsi="SimHei" w:eastAsia="SimHei" w:cs="SimHei"/>
          <w:sz w:val="31"/>
          <w:szCs w:val="31"/>
          <w:spacing w:val="1"/>
        </w:rPr>
        <w:t xml:space="preserve">  </w:t>
      </w:r>
      <w:r>
        <w:rPr>
          <w:rFonts w:ascii="FangSong_GB2312" w:hAnsi="FangSong_GB2312" w:eastAsia="FangSong_GB2312" w:cs="FangSong_GB2312"/>
          <w:sz w:val="31"/>
          <w:szCs w:val="31"/>
          <w:spacing w:val="1"/>
        </w:rPr>
        <w:t>济南老字号企业应当具备以下基本条件：</w:t>
      </w:r>
    </w:p>
    <w:p>
      <w:pPr>
        <w:ind w:left="18" w:right="16" w:firstLine="611"/>
        <w:spacing w:before="207" w:line="283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14"/>
        </w:rPr>
        <w:t>（一</w:t>
      </w:r>
      <w:r>
        <w:rPr>
          <w:rFonts w:ascii="FangSong_GB2312" w:hAnsi="FangSong_GB2312" w:eastAsia="FangSong_GB2312" w:cs="FangSong_GB2312"/>
          <w:sz w:val="31"/>
          <w:szCs w:val="31"/>
          <w:spacing w:val="-53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4"/>
        </w:rPr>
        <w:t>）在济南市行政区域注册、依法设立并正常运营的企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25"/>
        </w:rPr>
        <w:t>业；</w:t>
      </w:r>
    </w:p>
    <w:p>
      <w:pPr>
        <w:ind w:right="40"/>
        <w:spacing w:before="209" w:line="220" w:lineRule="auto"/>
        <w:jc w:val="right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（二）依法拥有商标的所有权或使用权，且未侵犯他人注</w:t>
      </w:r>
    </w:p>
    <w:p>
      <w:pPr>
        <w:spacing w:line="220" w:lineRule="auto"/>
        <w:sectPr>
          <w:footerReference w:type="default" r:id="rId9"/>
          <w:pgSz w:w="11905" w:h="16840"/>
          <w:pgMar w:top="1431" w:right="1517" w:bottom="1508" w:left="1537" w:header="0" w:footer="1144" w:gutter="0"/>
        </w:sectPr>
        <w:rPr>
          <w:rFonts w:ascii="FangSong_GB2312" w:hAnsi="FangSong_GB2312" w:eastAsia="FangSong_GB2312" w:cs="FangSong_GB2312"/>
          <w:sz w:val="31"/>
          <w:szCs w:val="31"/>
        </w:rPr>
      </w:pPr>
    </w:p>
    <w:p>
      <w:pPr>
        <w:spacing w:line="318" w:lineRule="auto"/>
        <w:rPr>
          <w:rFonts w:ascii="Arial"/>
          <w:sz w:val="21"/>
        </w:rPr>
      </w:pPr>
      <w:r/>
    </w:p>
    <w:p>
      <w:pPr>
        <w:spacing w:line="319" w:lineRule="auto"/>
        <w:rPr>
          <w:rFonts w:ascii="Arial"/>
          <w:sz w:val="21"/>
        </w:rPr>
      </w:pPr>
      <w:r/>
    </w:p>
    <w:p>
      <w:pPr>
        <w:ind w:left="6"/>
        <w:spacing w:before="101" w:line="220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</w:rPr>
        <w:t>册商标专用权，传承关系明确且无争议；</w:t>
      </w:r>
    </w:p>
    <w:p>
      <w:pPr>
        <w:ind w:left="47" w:right="41" w:firstLine="581"/>
        <w:spacing w:before="209" w:line="283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（三）主营业务连续经营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20</w:t>
      </w:r>
      <w:r>
        <w:rPr>
          <w:rFonts w:ascii="FangSong_GB2312" w:hAnsi="FangSong_GB2312" w:eastAsia="FangSong_GB2312" w:cs="FangSong_GB2312"/>
          <w:sz w:val="31"/>
          <w:szCs w:val="31"/>
          <w:spacing w:val="-48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年（含）以上，且主要面向居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</w:rPr>
        <w:t>民生活提供商品或服务；</w:t>
      </w:r>
    </w:p>
    <w:p>
      <w:pPr>
        <w:ind w:left="628"/>
        <w:spacing w:before="210" w:line="220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（四）经营状况良好，且具有较强的可持续发展能力；</w:t>
      </w:r>
    </w:p>
    <w:p>
      <w:pPr>
        <w:ind w:left="8" w:right="57" w:firstLine="619"/>
        <w:spacing w:before="206" w:line="284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16"/>
        </w:rPr>
        <w:t>（五）具有符合现代要求的企业治理模式，具备较强的创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15"/>
        </w:rPr>
        <w:t>新能力；</w:t>
      </w:r>
    </w:p>
    <w:p>
      <w:pPr>
        <w:ind w:left="628"/>
        <w:spacing w:before="210" w:line="220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1"/>
        </w:rPr>
        <w:t>（六）在所属行业或领域内具有较强影响力；</w:t>
      </w:r>
    </w:p>
    <w:p>
      <w:pPr>
        <w:ind w:left="628"/>
        <w:spacing w:before="210" w:line="220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（七）未在经营异常名录或严重违法失信名</w:t>
      </w:r>
      <w:r>
        <w:rPr>
          <w:rFonts w:ascii="FangSong_GB2312" w:hAnsi="FangSong_GB2312" w:eastAsia="FangSong_GB2312" w:cs="FangSong_GB2312"/>
          <w:sz w:val="31"/>
          <w:szCs w:val="31"/>
          <w:spacing w:val="1"/>
        </w:rPr>
        <w:t>单中；</w:t>
      </w:r>
    </w:p>
    <w:p>
      <w:pPr>
        <w:ind w:left="13" w:right="5" w:firstLine="615"/>
        <w:spacing w:before="214" w:line="303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（八）高度重视安全生产工作，严格落实《山东省生产经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2"/>
        </w:rPr>
        <w:t>营单位安全生产主体责任规定》，近</w:t>
      </w:r>
      <w:r>
        <w:rPr>
          <w:rFonts w:ascii="FangSong_GB2312" w:hAnsi="FangSong_GB2312" w:eastAsia="FangSong_GB2312" w:cs="FangSong_GB2312"/>
          <w:sz w:val="31"/>
          <w:szCs w:val="31"/>
          <w:spacing w:val="12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2"/>
        </w:rPr>
        <w:t>3</w:t>
      </w:r>
      <w:r>
        <w:rPr>
          <w:rFonts w:ascii="FangSong_GB2312" w:hAnsi="FangSong_GB2312" w:eastAsia="FangSong_GB2312" w:cs="FangSong_GB2312"/>
          <w:sz w:val="31"/>
          <w:szCs w:val="31"/>
          <w:spacing w:val="-36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2"/>
        </w:rPr>
        <w:t>年未发生安全生产责任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16"/>
        </w:rPr>
        <w:t>事故。</w:t>
      </w:r>
    </w:p>
    <w:p>
      <w:pPr>
        <w:spacing w:line="324" w:lineRule="auto"/>
        <w:rPr>
          <w:rFonts w:ascii="Arial"/>
          <w:sz w:val="21"/>
        </w:rPr>
      </w:pPr>
      <w:r/>
    </w:p>
    <w:p>
      <w:pPr>
        <w:ind w:left="3003"/>
        <w:spacing w:before="101" w:line="228" w:lineRule="auto"/>
        <w:outlineLvl w:val="1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</w:rPr>
        <w:t>第三章</w:t>
      </w:r>
      <w:r>
        <w:rPr>
          <w:rFonts w:ascii="SimHei" w:hAnsi="SimHei" w:eastAsia="SimHei" w:cs="SimHei"/>
          <w:sz w:val="31"/>
          <w:szCs w:val="31"/>
          <w:spacing w:val="21"/>
        </w:rPr>
        <w:t xml:space="preserve">  </w:t>
      </w:r>
      <w:r>
        <w:rPr>
          <w:rFonts w:ascii="SimHei" w:hAnsi="SimHei" w:eastAsia="SimHei" w:cs="SimHei"/>
          <w:sz w:val="31"/>
          <w:szCs w:val="31"/>
        </w:rPr>
        <w:t>申报与认定</w:t>
      </w:r>
    </w:p>
    <w:p>
      <w:pPr>
        <w:spacing w:line="313" w:lineRule="auto"/>
        <w:rPr>
          <w:rFonts w:ascii="Arial"/>
          <w:sz w:val="21"/>
        </w:rPr>
      </w:pPr>
      <w:r/>
    </w:p>
    <w:p>
      <w:pPr>
        <w:ind w:left="636"/>
        <w:spacing w:before="101" w:line="223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1"/>
        </w:rPr>
        <w:t>第八条</w:t>
      </w:r>
      <w:r>
        <w:rPr>
          <w:rFonts w:ascii="SimHei" w:hAnsi="SimHei" w:eastAsia="SimHei" w:cs="SimHei"/>
          <w:sz w:val="31"/>
          <w:szCs w:val="31"/>
          <w:spacing w:val="1"/>
        </w:rPr>
        <w:t xml:space="preserve">  </w:t>
      </w:r>
      <w:r>
        <w:rPr>
          <w:rFonts w:ascii="FangSong_GB2312" w:hAnsi="FangSong_GB2312" w:eastAsia="FangSong_GB2312" w:cs="FangSong_GB2312"/>
          <w:sz w:val="31"/>
          <w:szCs w:val="31"/>
          <w:spacing w:val="1"/>
        </w:rPr>
        <w:t>“济南老字号”的申报与认定程序：</w:t>
      </w:r>
    </w:p>
    <w:p>
      <w:pPr>
        <w:ind w:left="7" w:right="31" w:firstLine="621"/>
        <w:spacing w:before="209" w:line="282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13"/>
        </w:rPr>
        <w:t>（一</w:t>
      </w:r>
      <w:r>
        <w:rPr>
          <w:rFonts w:ascii="FangSong_GB2312" w:hAnsi="FangSong_GB2312" w:eastAsia="FangSong_GB2312" w:cs="FangSong_GB2312"/>
          <w:sz w:val="31"/>
          <w:szCs w:val="31"/>
          <w:spacing w:val="-56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3"/>
        </w:rPr>
        <w:t>）部署安排。济南市商务局会同相关部门原则上</w:t>
      </w:r>
      <w:r>
        <w:rPr>
          <w:rFonts w:ascii="FangSong_GB2312" w:hAnsi="FangSong_GB2312" w:eastAsia="FangSong_GB2312" w:cs="FangSong_GB2312"/>
          <w:sz w:val="31"/>
          <w:szCs w:val="31"/>
          <w:spacing w:val="12"/>
        </w:rPr>
        <w:t>每</w:t>
      </w:r>
      <w:r>
        <w:rPr>
          <w:rFonts w:ascii="FangSong_GB2312" w:hAnsi="FangSong_GB2312" w:eastAsia="FangSong_GB2312" w:cs="FangSong_GB2312"/>
          <w:sz w:val="31"/>
          <w:szCs w:val="31"/>
          <w:spacing w:val="12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2"/>
        </w:rPr>
        <w:t>3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年组织开展一次评审认定，具体时间安排由市商务局发布通知。</w:t>
      </w:r>
    </w:p>
    <w:p>
      <w:pPr>
        <w:ind w:right="43" w:firstLine="628"/>
        <w:spacing w:before="210" w:line="283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（二）提出申请。符合本办法第六条、第七条规定</w:t>
      </w:r>
      <w:r>
        <w:rPr>
          <w:rFonts w:ascii="FangSong_GB2312" w:hAnsi="FangSong_GB2312" w:eastAsia="FangSong_GB2312" w:cs="FangSong_GB2312"/>
          <w:sz w:val="31"/>
          <w:szCs w:val="31"/>
          <w:spacing w:val="16"/>
        </w:rPr>
        <w:t>条件的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相关企业，向注册地区、县（功能区）商务主管部门提出申请。</w:t>
      </w:r>
    </w:p>
    <w:p>
      <w:pPr>
        <w:ind w:left="17" w:firstLine="611"/>
        <w:spacing w:before="209" w:line="304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18"/>
        </w:rPr>
        <w:t>（三）资料提交。受理企业申请的区、县（</w:t>
      </w: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功能区）商务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主管部门，负责对企业申请的真实性、有效性、完整性</w:t>
      </w:r>
      <w:r>
        <w:rPr>
          <w:rFonts w:ascii="FangSong_GB2312" w:hAnsi="FangSong_GB2312" w:eastAsia="FangSong_GB2312" w:cs="FangSong_GB2312"/>
          <w:sz w:val="31"/>
          <w:szCs w:val="31"/>
          <w:spacing w:val="16"/>
        </w:rPr>
        <w:t>进行初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审，确认申请有效的提出推荐名单报送市商务</w:t>
      </w:r>
      <w:r>
        <w:rPr>
          <w:rFonts w:ascii="FangSong_GB2312" w:hAnsi="FangSong_GB2312" w:eastAsia="FangSong_GB2312" w:cs="FangSong_GB2312"/>
          <w:sz w:val="31"/>
          <w:szCs w:val="31"/>
          <w:spacing w:val="1"/>
        </w:rPr>
        <w:t>局。</w:t>
      </w:r>
    </w:p>
    <w:p>
      <w:pPr>
        <w:ind w:right="37"/>
        <w:spacing w:before="210" w:line="220" w:lineRule="auto"/>
        <w:jc w:val="right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（四）认定评审。济南市商务局委托第三方机构组织相关</w:t>
      </w:r>
    </w:p>
    <w:p>
      <w:pPr>
        <w:spacing w:line="220" w:lineRule="auto"/>
        <w:sectPr>
          <w:footerReference w:type="default" r:id="rId10"/>
          <w:pgSz w:w="11905" w:h="16840"/>
          <w:pgMar w:top="1431" w:right="1520" w:bottom="1508" w:left="1538" w:header="0" w:footer="1146" w:gutter="0"/>
        </w:sectPr>
        <w:rPr>
          <w:rFonts w:ascii="FangSong_GB2312" w:hAnsi="FangSong_GB2312" w:eastAsia="FangSong_GB2312" w:cs="FangSong_GB2312"/>
          <w:sz w:val="31"/>
          <w:szCs w:val="31"/>
        </w:rPr>
      </w:pPr>
    </w:p>
    <w:p>
      <w:pPr>
        <w:spacing w:line="317" w:lineRule="auto"/>
        <w:rPr>
          <w:rFonts w:ascii="Arial"/>
          <w:sz w:val="21"/>
        </w:rPr>
      </w:pPr>
      <w:r/>
    </w:p>
    <w:p>
      <w:pPr>
        <w:spacing w:line="318" w:lineRule="auto"/>
        <w:rPr>
          <w:rFonts w:ascii="Arial"/>
          <w:sz w:val="21"/>
        </w:rPr>
      </w:pPr>
      <w:r/>
    </w:p>
    <w:p>
      <w:pPr>
        <w:ind w:left="5" w:firstLine="6"/>
        <w:spacing w:before="101" w:line="345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专家，对申报单位提交的档案资料等证明材料进行原始属性和真</w:t>
      </w:r>
      <w:r>
        <w:rPr>
          <w:rFonts w:ascii="FangSong_GB2312" w:hAnsi="FangSong_GB2312" w:eastAsia="FangSong_GB2312" w:cs="FangSong_GB2312"/>
          <w:sz w:val="31"/>
          <w:szCs w:val="31"/>
          <w:spacing w:val="14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伪分析，必要时对有关内容进行现场调研，提出初步评审意见。</w:t>
      </w:r>
    </w:p>
    <w:p>
      <w:pPr>
        <w:ind w:left="1" w:firstLine="624"/>
        <w:spacing w:before="4" w:line="314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18"/>
        </w:rPr>
        <w:t>（五）认定评议。市商务局会同相关部门、市老字号</w:t>
      </w: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协会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组织专家按照科学、公平、公正的原则，对第三方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机构提出的评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审意见进行认定评议。参与评议的专家可根据需要或委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托有关机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构采取材料审查、现场调查、查阅档案等形式进行审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查。</w:t>
      </w:r>
    </w:p>
    <w:p>
      <w:pPr>
        <w:ind w:left="1" w:right="1" w:firstLine="624"/>
        <w:spacing w:before="210" w:line="314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18"/>
        </w:rPr>
        <w:t>（六）社会公示。市商务局在官方网站和公共</w:t>
      </w: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媒体对拟认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定的济南老字号及其所属企业相关信息向社会公示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，公示时间不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5"/>
        </w:rPr>
        <w:t>少于</w:t>
      </w:r>
      <w:r>
        <w:rPr>
          <w:rFonts w:ascii="FangSong_GB2312" w:hAnsi="FangSong_GB2312" w:eastAsia="FangSong_GB2312" w:cs="FangSong_GB2312"/>
          <w:sz w:val="31"/>
          <w:szCs w:val="31"/>
          <w:spacing w:val="-38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5"/>
        </w:rPr>
        <w:t>7</w:t>
      </w:r>
      <w:r>
        <w:rPr>
          <w:rFonts w:ascii="FangSong_GB2312" w:hAnsi="FangSong_GB2312" w:eastAsia="FangSong_GB2312" w:cs="FangSong_GB2312"/>
          <w:sz w:val="31"/>
          <w:szCs w:val="31"/>
          <w:spacing w:val="-5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5"/>
        </w:rPr>
        <w:t>个工作日。任何单位或个人对名单有不同意见的，均可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向市商务局提出异议，并提供详实的书面举证材料。</w:t>
      </w:r>
    </w:p>
    <w:p>
      <w:pPr>
        <w:ind w:left="15" w:right="71" w:firstLine="611"/>
        <w:spacing w:before="208" w:line="304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16"/>
        </w:rPr>
        <w:t>（七）申请复核。市商务局在接到异议后会同相关部</w:t>
      </w:r>
      <w:r>
        <w:rPr>
          <w:rFonts w:ascii="FangSong_GB2312" w:hAnsi="FangSong_GB2312" w:eastAsia="FangSong_GB2312" w:cs="FangSong_GB2312"/>
          <w:sz w:val="31"/>
          <w:szCs w:val="31"/>
          <w:spacing w:val="15"/>
        </w:rPr>
        <w:t>门、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市老字号协会组织专家对异议情况进行复核。如存在较大争议，</w:t>
      </w:r>
      <w:r>
        <w:rPr>
          <w:rFonts w:ascii="FangSong_GB2312" w:hAnsi="FangSong_GB2312" w:eastAsia="FangSong_GB2312" w:cs="FangSong_GB2312"/>
          <w:sz w:val="31"/>
          <w:szCs w:val="31"/>
          <w:spacing w:val="15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市商务局可召开听证会。</w:t>
      </w:r>
    </w:p>
    <w:p>
      <w:pPr>
        <w:ind w:firstLine="626"/>
        <w:spacing w:before="213" w:line="320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（八）认定决定。在公示期间无异议或异议不成立，由市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商务局会同相关部门作出决定，认定为“济南老字号”并向社会</w:t>
      </w:r>
      <w:r>
        <w:rPr>
          <w:rFonts w:ascii="FangSong_GB2312" w:hAnsi="FangSong_GB2312" w:eastAsia="FangSong_GB2312" w:cs="FangSong_GB2312"/>
          <w:sz w:val="31"/>
          <w:szCs w:val="31"/>
          <w:spacing w:val="16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公布。由市商务局依据本办法授予济南老字号标识使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用权、颁发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济南老字号牌匾和证书。山东老字号的申报推荐必须具备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济南老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字号资格。</w:t>
      </w:r>
    </w:p>
    <w:p>
      <w:pPr>
        <w:ind w:left="11" w:right="6" w:firstLine="622"/>
        <w:spacing w:before="211" w:line="342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17"/>
        </w:rPr>
        <w:t>第九条</w:t>
      </w:r>
      <w:r>
        <w:rPr>
          <w:rFonts w:ascii="SimHei" w:hAnsi="SimHei" w:eastAsia="SimHei" w:cs="SimHei"/>
          <w:sz w:val="31"/>
          <w:szCs w:val="31"/>
          <w:spacing w:val="17"/>
        </w:rPr>
        <w:t xml:space="preserve">  </w:t>
      </w: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符合本办法第六条、第七条规定条件的企业应在</w:t>
      </w:r>
      <w:r>
        <w:rPr>
          <w:rFonts w:ascii="FangSong_GB2312" w:hAnsi="FangSong_GB2312" w:eastAsia="FangSong_GB2312" w:cs="FangSong_GB2312"/>
          <w:sz w:val="31"/>
          <w:szCs w:val="31"/>
          <w:spacing w:val="13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4"/>
        </w:rPr>
        <w:t>规定日期内提交申报材料，</w:t>
      </w:r>
      <w:r>
        <w:rPr>
          <w:rFonts w:ascii="FangSong_GB2312" w:hAnsi="FangSong_GB2312" w:eastAsia="FangSong_GB2312" w:cs="FangSong_GB2312"/>
          <w:sz w:val="31"/>
          <w:szCs w:val="31"/>
          <w:spacing w:val="-77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4"/>
        </w:rPr>
        <w:t>具体包括：</w:t>
      </w:r>
    </w:p>
    <w:p>
      <w:pPr>
        <w:ind w:left="626"/>
        <w:spacing w:before="11" w:line="220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1"/>
        </w:rPr>
        <w:t>（一）企业基本信息、股权结构及近</w:t>
      </w:r>
      <w:r>
        <w:rPr>
          <w:rFonts w:ascii="FangSong_GB2312" w:hAnsi="FangSong_GB2312" w:eastAsia="FangSong_GB2312" w:cs="FangSong_GB2312"/>
          <w:sz w:val="31"/>
          <w:szCs w:val="31"/>
          <w:spacing w:val="-48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"/>
        </w:rPr>
        <w:t>3</w:t>
      </w:r>
      <w:r>
        <w:rPr>
          <w:rFonts w:ascii="FangSong_GB2312" w:hAnsi="FangSong_GB2312" w:eastAsia="FangSong_GB2312" w:cs="FangSong_GB2312"/>
          <w:sz w:val="31"/>
          <w:szCs w:val="31"/>
          <w:spacing w:val="-59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"/>
        </w:rPr>
        <w:t>年经营</w:t>
      </w:r>
      <w:r>
        <w:rPr>
          <w:rFonts w:ascii="FangSong_GB2312" w:hAnsi="FangSong_GB2312" w:eastAsia="FangSong_GB2312" w:cs="FangSong_GB2312"/>
          <w:sz w:val="31"/>
          <w:szCs w:val="31"/>
        </w:rPr>
        <w:t>情况；</w:t>
      </w:r>
    </w:p>
    <w:p>
      <w:pPr>
        <w:ind w:left="626"/>
        <w:spacing w:before="207" w:line="221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-5"/>
        </w:rPr>
        <w:t>（二）</w:t>
      </w:r>
      <w:r>
        <w:rPr>
          <w:rFonts w:ascii="FangSong_GB2312" w:hAnsi="FangSong_GB2312" w:eastAsia="FangSong_GB2312" w:cs="FangSong_GB2312"/>
          <w:sz w:val="31"/>
          <w:szCs w:val="31"/>
          <w:spacing w:val="-75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5"/>
        </w:rPr>
        <w:t>品牌创立时间的证明材料；</w:t>
      </w:r>
    </w:p>
    <w:p>
      <w:pPr>
        <w:spacing w:line="221" w:lineRule="auto"/>
        <w:sectPr>
          <w:footerReference w:type="default" r:id="rId11"/>
          <w:pgSz w:w="11905" w:h="16840"/>
          <w:pgMar w:top="1431" w:right="1516" w:bottom="1508" w:left="1541" w:header="0" w:footer="1146" w:gutter="0"/>
        </w:sectPr>
        <w:rPr>
          <w:rFonts w:ascii="FangSong_GB2312" w:hAnsi="FangSong_GB2312" w:eastAsia="FangSong_GB2312" w:cs="FangSong_GB2312"/>
          <w:sz w:val="31"/>
          <w:szCs w:val="31"/>
        </w:rPr>
      </w:pPr>
    </w:p>
    <w:p>
      <w:pPr>
        <w:spacing w:line="318" w:lineRule="auto"/>
        <w:rPr>
          <w:rFonts w:ascii="Arial"/>
          <w:sz w:val="21"/>
        </w:rPr>
      </w:pPr>
      <w:r/>
    </w:p>
    <w:p>
      <w:pPr>
        <w:spacing w:line="319" w:lineRule="auto"/>
        <w:rPr>
          <w:rFonts w:ascii="Arial"/>
          <w:sz w:val="21"/>
        </w:rPr>
      </w:pPr>
      <w:r/>
    </w:p>
    <w:p>
      <w:pPr>
        <w:ind w:left="624"/>
        <w:spacing w:before="101" w:line="220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</w:rPr>
        <w:t>（三）注册商标的权属证明文件；</w:t>
      </w:r>
    </w:p>
    <w:p>
      <w:pPr>
        <w:ind w:left="624"/>
        <w:spacing w:before="210" w:line="220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1"/>
        </w:rPr>
        <w:t>（四）主营业务传承脉络清晰的证明材料；</w:t>
      </w:r>
    </w:p>
    <w:p>
      <w:pPr>
        <w:ind w:left="624"/>
        <w:spacing w:before="211" w:line="220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-2"/>
        </w:rPr>
        <w:t>（五）</w:t>
      </w:r>
      <w:r>
        <w:rPr>
          <w:rFonts w:ascii="FangSong_GB2312" w:hAnsi="FangSong_GB2312" w:eastAsia="FangSong_GB2312" w:cs="FangSong_GB2312"/>
          <w:sz w:val="31"/>
          <w:szCs w:val="31"/>
          <w:spacing w:val="-82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2"/>
        </w:rPr>
        <w:t>品牌历史价值和文化价值的介绍材料；</w:t>
      </w:r>
    </w:p>
    <w:p>
      <w:pPr>
        <w:ind w:left="8" w:right="33" w:firstLine="616"/>
        <w:spacing w:before="210" w:line="282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31"/>
        </w:rPr>
        <w:t>（六）企业在设计研发、工艺技术、产品服务和经营理</w:t>
      </w:r>
      <w:r>
        <w:rPr>
          <w:rFonts w:ascii="FangSong_GB2312" w:hAnsi="FangSong_GB2312" w:eastAsia="FangSong_GB2312" w:cs="FangSong_GB2312"/>
          <w:sz w:val="31"/>
          <w:szCs w:val="31"/>
          <w:spacing w:val="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念、营销渠道、管理模式等方面创新发展的介绍材料；</w:t>
      </w:r>
    </w:p>
    <w:p>
      <w:pPr>
        <w:ind w:left="624"/>
        <w:spacing w:before="212" w:line="220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（七）企业文化的介绍材料和获得荣誉的证明材料；</w:t>
      </w:r>
    </w:p>
    <w:p>
      <w:pPr>
        <w:ind w:left="6" w:right="32" w:firstLine="618"/>
        <w:spacing w:before="209" w:line="283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（八）针对上述材料并经法定代表人或负责人签字的真实</w:t>
      </w:r>
      <w:r>
        <w:rPr>
          <w:rFonts w:ascii="FangSong_GB2312" w:hAnsi="FangSong_GB2312" w:eastAsia="FangSong_GB2312" w:cs="FangSong_GB2312"/>
          <w:sz w:val="31"/>
          <w:szCs w:val="31"/>
          <w:spacing w:val="1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15"/>
        </w:rPr>
        <w:t>性承诺；</w:t>
      </w:r>
    </w:p>
    <w:p>
      <w:pPr>
        <w:ind w:left="3" w:right="39" w:firstLine="621"/>
        <w:spacing w:before="213" w:line="282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（九）商务主管部门和相关部门认为应当提交的其他相关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15"/>
        </w:rPr>
        <w:t>材料。</w:t>
      </w:r>
    </w:p>
    <w:p>
      <w:pPr>
        <w:ind w:left="640"/>
        <w:spacing w:before="208" w:line="219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1"/>
        </w:rPr>
        <w:t>上述申报材料应当真实、有效、完整。</w:t>
      </w:r>
    </w:p>
    <w:p>
      <w:pPr>
        <w:ind w:left="13" w:firstLine="618"/>
        <w:spacing w:before="217" w:line="344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17"/>
        </w:rPr>
        <w:t>第十条</w:t>
      </w:r>
      <w:r>
        <w:rPr>
          <w:rFonts w:ascii="SimHei" w:hAnsi="SimHei" w:eastAsia="SimHei" w:cs="SimHei"/>
          <w:sz w:val="31"/>
          <w:szCs w:val="31"/>
          <w:spacing w:val="17"/>
        </w:rPr>
        <w:t xml:space="preserve">  </w:t>
      </w: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济南老字号标识属市商务局标志，济南老字号企</w:t>
      </w:r>
      <w:r>
        <w:rPr>
          <w:rFonts w:ascii="FangSong_GB2312" w:hAnsi="FangSong_GB2312" w:eastAsia="FangSong_GB2312" w:cs="FangSong_GB2312"/>
          <w:sz w:val="31"/>
          <w:szCs w:val="31"/>
          <w:spacing w:val="13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业可依据《济南老字号标识和牌匾使用规定》（附件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），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使用济</w:t>
      </w:r>
      <w:r>
        <w:rPr>
          <w:rFonts w:ascii="FangSong_GB2312" w:hAnsi="FangSong_GB2312" w:eastAsia="FangSong_GB2312" w:cs="FangSong_GB2312"/>
          <w:sz w:val="31"/>
          <w:szCs w:val="31"/>
          <w:spacing w:val="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3"/>
        </w:rPr>
        <w:t>南老字号标识和牌匾。</w:t>
      </w:r>
    </w:p>
    <w:p>
      <w:pPr>
        <w:ind w:left="3158"/>
        <w:spacing w:before="221" w:line="228" w:lineRule="auto"/>
        <w:outlineLvl w:val="1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4"/>
        </w:rPr>
        <w:t>第四章</w:t>
      </w:r>
      <w:r>
        <w:rPr>
          <w:rFonts w:ascii="SimHei" w:hAnsi="SimHei" w:eastAsia="SimHei" w:cs="SimHei"/>
          <w:sz w:val="31"/>
          <w:szCs w:val="31"/>
          <w:spacing w:val="4"/>
        </w:rPr>
        <w:t xml:space="preserve">  </w:t>
      </w:r>
      <w:r>
        <w:rPr>
          <w:rFonts w:ascii="SimHei" w:hAnsi="SimHei" w:eastAsia="SimHei" w:cs="SimHei"/>
          <w:sz w:val="31"/>
          <w:szCs w:val="31"/>
          <w:spacing w:val="4"/>
        </w:rPr>
        <w:t>动态管理</w:t>
      </w:r>
    </w:p>
    <w:p>
      <w:pPr>
        <w:spacing w:line="312" w:lineRule="auto"/>
        <w:rPr>
          <w:rFonts w:ascii="Arial"/>
          <w:sz w:val="21"/>
        </w:rPr>
      </w:pPr>
      <w:r/>
    </w:p>
    <w:p>
      <w:pPr>
        <w:ind w:firstLine="632"/>
        <w:spacing w:before="102" w:line="345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17"/>
        </w:rPr>
        <w:t>第十一条</w:t>
      </w:r>
      <w:r>
        <w:rPr>
          <w:rFonts w:ascii="SimHei" w:hAnsi="SimHei" w:eastAsia="SimHei" w:cs="SimHei"/>
          <w:sz w:val="31"/>
          <w:szCs w:val="31"/>
          <w:spacing w:val="17"/>
        </w:rPr>
        <w:t xml:space="preserve">  </w:t>
      </w: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济南老字号企业的企业名称、商标、法定代表</w:t>
      </w:r>
      <w:r>
        <w:rPr>
          <w:rFonts w:ascii="FangSong_GB2312" w:hAnsi="FangSong_GB2312" w:eastAsia="FangSong_GB2312" w:cs="FangSong_GB2312"/>
          <w:sz w:val="31"/>
          <w:szCs w:val="31"/>
          <w:spacing w:val="1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人、股权结构发生以下变化的，应当自发生变化之日起</w:t>
      </w:r>
      <w:r>
        <w:rPr>
          <w:rFonts w:ascii="FangSong_GB2312" w:hAnsi="FangSong_GB2312" w:eastAsia="FangSong_GB2312" w:cs="FangSong_GB2312"/>
          <w:sz w:val="31"/>
          <w:szCs w:val="31"/>
          <w:spacing w:val="-4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30</w:t>
      </w:r>
      <w:r>
        <w:rPr>
          <w:rFonts w:ascii="FangSong_GB2312" w:hAnsi="FangSong_GB2312" w:eastAsia="FangSong_GB2312" w:cs="FangSong_GB2312"/>
          <w:sz w:val="31"/>
          <w:szCs w:val="31"/>
          <w:spacing w:val="-59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个工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作日内通过区、县（功能区）商务主管部门向市商务局提出申</w:t>
      </w:r>
      <w:r>
        <w:rPr>
          <w:rFonts w:ascii="FangSong_GB2312" w:hAnsi="FangSong_GB2312" w:eastAsia="FangSong_GB2312" w:cs="FangSong_GB2312"/>
          <w:sz w:val="31"/>
          <w:szCs w:val="31"/>
          <w:spacing w:val="14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"/>
        </w:rPr>
        <w:t>请，并详细说明发生变化的理由：</w:t>
      </w:r>
    </w:p>
    <w:p>
      <w:pPr>
        <w:ind w:left="624"/>
        <w:spacing w:before="5" w:line="220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-1"/>
        </w:rPr>
        <w:t>（一）企业名称发生变化的；</w:t>
      </w:r>
    </w:p>
    <w:p>
      <w:pPr>
        <w:ind w:right="26"/>
        <w:spacing w:before="211" w:line="220" w:lineRule="auto"/>
        <w:jc w:val="right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（二）在不丧失老字号注册商标使用权的前提下，该注册</w:t>
      </w:r>
    </w:p>
    <w:p>
      <w:pPr>
        <w:spacing w:line="220" w:lineRule="auto"/>
        <w:sectPr>
          <w:footerReference w:type="default" r:id="rId12"/>
          <w:pgSz w:w="11905" w:h="16840"/>
          <w:pgMar w:top="1431" w:right="1517" w:bottom="1508" w:left="1542" w:header="0" w:footer="1146" w:gutter="0"/>
        </w:sectPr>
        <w:rPr>
          <w:rFonts w:ascii="FangSong_GB2312" w:hAnsi="FangSong_GB2312" w:eastAsia="FangSong_GB2312" w:cs="FangSong_GB2312"/>
          <w:sz w:val="31"/>
          <w:szCs w:val="31"/>
        </w:rPr>
      </w:pPr>
    </w:p>
    <w:p>
      <w:pPr>
        <w:spacing w:line="319" w:lineRule="auto"/>
        <w:rPr>
          <w:rFonts w:ascii="Arial"/>
          <w:sz w:val="21"/>
        </w:rPr>
      </w:pPr>
      <w:r/>
    </w:p>
    <w:p>
      <w:pPr>
        <w:spacing w:line="319" w:lineRule="auto"/>
        <w:rPr>
          <w:rFonts w:ascii="Arial"/>
          <w:sz w:val="21"/>
        </w:rPr>
      </w:pPr>
      <w:r/>
    </w:p>
    <w:p>
      <w:pPr>
        <w:ind w:left="19"/>
        <w:spacing w:before="101" w:line="220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商标发生转让的；</w:t>
      </w:r>
    </w:p>
    <w:p>
      <w:pPr>
        <w:ind w:left="631"/>
        <w:spacing w:before="208" w:line="220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</w:rPr>
        <w:t>（三）法定代表人发生变化的；</w:t>
      </w:r>
    </w:p>
    <w:p>
      <w:pPr>
        <w:ind w:left="631"/>
        <w:spacing w:before="211" w:line="220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</w:rPr>
        <w:t>（四）股权结构发生变化的。</w:t>
      </w:r>
    </w:p>
    <w:p>
      <w:pPr>
        <w:ind w:firstLine="682"/>
        <w:spacing w:before="210" w:line="345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16"/>
        </w:rPr>
        <w:t>区、县（功能区）商务主管部门在接到企业的申请后，应</w:t>
      </w:r>
      <w:r>
        <w:rPr>
          <w:rFonts w:ascii="FangSong_GB2312" w:hAnsi="FangSong_GB2312" w:eastAsia="FangSong_GB2312" w:cs="FangSong_GB2312"/>
          <w:sz w:val="31"/>
          <w:szCs w:val="31"/>
          <w:spacing w:val="10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按照济南老字号认定条件进行审核，并提出审核意见报市商务</w:t>
      </w:r>
      <w:r>
        <w:rPr>
          <w:rFonts w:ascii="FangSong_GB2312" w:hAnsi="FangSong_GB2312" w:eastAsia="FangSong_GB2312" w:cs="FangSong_GB2312"/>
          <w:sz w:val="31"/>
          <w:szCs w:val="31"/>
          <w:spacing w:val="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局。审核过程中可根据需要现场核实相关情况或要求企业补充提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"/>
        </w:rPr>
        <w:t>供相关材料，必要时向社会公示。</w:t>
      </w:r>
    </w:p>
    <w:p>
      <w:pPr>
        <w:ind w:left="6" w:right="1" w:firstLine="646"/>
        <w:spacing w:before="2" w:line="345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市商务局收到区、县（功能区）商务主管部门审核意见后</w:t>
      </w:r>
      <w:r>
        <w:rPr>
          <w:rFonts w:ascii="FangSong_GB2312" w:hAnsi="FangSong_GB2312" w:eastAsia="FangSong_GB2312" w:cs="FangSong_GB2312"/>
          <w:sz w:val="31"/>
          <w:szCs w:val="31"/>
          <w:spacing w:val="15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进行复核，必要时商相关部门联合审核，并通过济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南市商务局网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"/>
        </w:rPr>
        <w:t>站公布复核通过的企业变更信息。</w:t>
      </w:r>
    </w:p>
    <w:p>
      <w:pPr>
        <w:ind w:left="7" w:firstLine="631"/>
        <w:spacing w:before="8" w:line="324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1"/>
        </w:rPr>
        <w:t>第十二条</w:t>
      </w:r>
      <w:r>
        <w:rPr>
          <w:rFonts w:ascii="SimHei" w:hAnsi="SimHei" w:eastAsia="SimHei" w:cs="SimHei"/>
          <w:sz w:val="31"/>
          <w:szCs w:val="31"/>
          <w:spacing w:val="1"/>
        </w:rPr>
        <w:t xml:space="preserve">   </w:t>
      </w:r>
      <w:r>
        <w:rPr>
          <w:rFonts w:ascii="FangSong_GB2312" w:hAnsi="FangSong_GB2312" w:eastAsia="FangSong_GB2312" w:cs="FangSong_GB2312"/>
          <w:sz w:val="31"/>
          <w:szCs w:val="31"/>
          <w:spacing w:val="1"/>
        </w:rPr>
        <w:t>“济南老字号”企业应当每季度首月</w:t>
      </w:r>
      <w:r>
        <w:rPr>
          <w:rFonts w:ascii="FangSong_GB2312" w:hAnsi="FangSong_GB2312" w:eastAsia="FangSong_GB2312" w:cs="FangSong_GB2312"/>
          <w:sz w:val="31"/>
          <w:szCs w:val="31"/>
          <w:spacing w:val="-43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"/>
        </w:rPr>
        <w:t>10</w:t>
      </w:r>
      <w:r>
        <w:rPr>
          <w:rFonts w:ascii="FangSong_GB2312" w:hAnsi="FangSong_GB2312" w:eastAsia="FangSong_GB2312" w:cs="FangSong_GB2312"/>
          <w:sz w:val="31"/>
          <w:szCs w:val="31"/>
          <w:spacing w:val="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"/>
        </w:rPr>
        <w:t>日前向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所在区、县（功能区）商务主管部门提交上一季度经营情况报</w:t>
      </w:r>
      <w:r>
        <w:rPr>
          <w:rFonts w:ascii="FangSong_GB2312" w:hAnsi="FangSong_GB2312" w:eastAsia="FangSong_GB2312" w:cs="FangSong_GB2312"/>
          <w:sz w:val="31"/>
          <w:szCs w:val="31"/>
          <w:spacing w:val="13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告，并于每年</w:t>
      </w:r>
      <w:r>
        <w:rPr>
          <w:rFonts w:ascii="FangSong_GB2312" w:hAnsi="FangSong_GB2312" w:eastAsia="FangSong_GB2312" w:cs="FangSong_GB2312"/>
          <w:sz w:val="31"/>
          <w:szCs w:val="31"/>
          <w:spacing w:val="-29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1</w:t>
      </w:r>
      <w:r>
        <w:rPr>
          <w:rFonts w:ascii="FangSong_GB2312" w:hAnsi="FangSong_GB2312" w:eastAsia="FangSong_GB2312" w:cs="FangSong_GB2312"/>
          <w:sz w:val="31"/>
          <w:szCs w:val="31"/>
          <w:spacing w:val="-44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月</w:t>
      </w:r>
      <w:r>
        <w:rPr>
          <w:rFonts w:ascii="FangSong_GB2312" w:hAnsi="FangSong_GB2312" w:eastAsia="FangSong_GB2312" w:cs="FangSong_GB2312"/>
          <w:sz w:val="31"/>
          <w:szCs w:val="31"/>
          <w:spacing w:val="-40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15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日前提交上一年度经营情况（上市公司可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3"/>
        </w:rPr>
        <w:t>在季报年报公布后的</w:t>
      </w:r>
      <w:r>
        <w:rPr>
          <w:rFonts w:ascii="FangSong_GB2312" w:hAnsi="FangSong_GB2312" w:eastAsia="FangSong_GB2312" w:cs="FangSong_GB2312"/>
          <w:sz w:val="31"/>
          <w:szCs w:val="31"/>
          <w:spacing w:val="-4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3"/>
        </w:rPr>
        <w:t>5</w:t>
      </w:r>
      <w:r>
        <w:rPr>
          <w:rFonts w:ascii="FangSong_GB2312" w:hAnsi="FangSong_GB2312" w:eastAsia="FangSong_GB2312" w:cs="FangSong_GB2312"/>
          <w:sz w:val="31"/>
          <w:szCs w:val="31"/>
          <w:spacing w:val="-5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3"/>
        </w:rPr>
        <w:t>个工作日内进行上报</w:t>
      </w:r>
      <w:r>
        <w:rPr>
          <w:rFonts w:ascii="FangSong_GB2312" w:hAnsi="FangSong_GB2312" w:eastAsia="FangSong_GB2312" w:cs="FangSong_GB2312"/>
          <w:sz w:val="31"/>
          <w:szCs w:val="31"/>
          <w:spacing w:val="22"/>
        </w:rPr>
        <w:t>），</w:t>
      </w:r>
      <w:r>
        <w:rPr>
          <w:rFonts w:ascii="FangSong_GB2312" w:hAnsi="FangSong_GB2312" w:eastAsia="FangSong_GB2312" w:cs="FangSong_GB2312"/>
          <w:sz w:val="31"/>
          <w:szCs w:val="31"/>
          <w:spacing w:val="13"/>
        </w:rPr>
        <w:t>由区、县（功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能区）商务主管部门于企业提交经营情况的当月月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底前汇总报至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市商务局。</w:t>
      </w:r>
    </w:p>
    <w:p>
      <w:pPr>
        <w:ind w:left="6" w:right="1" w:firstLine="632"/>
        <w:spacing w:before="210" w:line="326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17"/>
        </w:rPr>
        <w:t>第十三条</w:t>
      </w:r>
      <w:r>
        <w:rPr>
          <w:rFonts w:ascii="SimHei" w:hAnsi="SimHei" w:eastAsia="SimHei" w:cs="SimHei"/>
          <w:sz w:val="31"/>
          <w:szCs w:val="31"/>
          <w:spacing w:val="17"/>
        </w:rPr>
        <w:t xml:space="preserve">  </w:t>
      </w: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市商务局开展济南老字号日常监测，建立“红</w:t>
      </w:r>
      <w:r>
        <w:rPr>
          <w:rFonts w:ascii="FangSong_GB2312" w:hAnsi="FangSong_GB2312" w:eastAsia="FangSong_GB2312" w:cs="FangSong_GB2312"/>
          <w:sz w:val="31"/>
          <w:szCs w:val="31"/>
          <w:spacing w:val="1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绿灯”机制，对出现本办法第十四条、第十五条、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第十六条所列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有关情形的济南老字号企业，分别采取相应管理措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施。并建立创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新发展评估模型，原则上每年对济南老字号企业进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行评估，发布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评估报告，并依据评估结果分别采取通报表扬、约谈警示等措</w:t>
      </w:r>
      <w:r>
        <w:rPr>
          <w:rFonts w:ascii="FangSong_GB2312" w:hAnsi="FangSong_GB2312" w:eastAsia="FangSong_GB2312" w:cs="FangSong_GB2312"/>
          <w:sz w:val="31"/>
          <w:szCs w:val="31"/>
          <w:spacing w:val="1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17"/>
        </w:rPr>
        <w:t>施。</w:t>
      </w:r>
    </w:p>
    <w:p>
      <w:pPr>
        <w:spacing w:line="326" w:lineRule="auto"/>
        <w:sectPr>
          <w:footerReference w:type="default" r:id="rId13"/>
          <w:pgSz w:w="11905" w:h="16840"/>
          <w:pgMar w:top="1431" w:right="1516" w:bottom="1508" w:left="1536" w:header="0" w:footer="1146" w:gutter="0"/>
        </w:sectPr>
        <w:rPr>
          <w:rFonts w:ascii="FangSong_GB2312" w:hAnsi="FangSong_GB2312" w:eastAsia="FangSong_GB2312" w:cs="FangSong_GB2312"/>
          <w:sz w:val="31"/>
          <w:szCs w:val="31"/>
        </w:rPr>
      </w:pPr>
    </w:p>
    <w:p>
      <w:pPr>
        <w:spacing w:line="317" w:lineRule="auto"/>
        <w:rPr>
          <w:rFonts w:ascii="Arial"/>
          <w:sz w:val="21"/>
        </w:rPr>
      </w:pPr>
      <w:r/>
    </w:p>
    <w:p>
      <w:pPr>
        <w:spacing w:line="317" w:lineRule="auto"/>
        <w:rPr>
          <w:rFonts w:ascii="Arial"/>
          <w:sz w:val="21"/>
        </w:rPr>
      </w:pPr>
      <w:r/>
    </w:p>
    <w:p>
      <w:pPr>
        <w:ind w:left="11" w:right="8" w:firstLine="628"/>
        <w:spacing w:before="101" w:line="345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15"/>
        </w:rPr>
        <w:t>第十四条</w:t>
      </w:r>
      <w:r>
        <w:rPr>
          <w:rFonts w:ascii="SimHei" w:hAnsi="SimHei" w:eastAsia="SimHei" w:cs="SimHei"/>
          <w:sz w:val="31"/>
          <w:szCs w:val="31"/>
          <w:spacing w:val="15"/>
        </w:rPr>
        <w:t xml:space="preserve">  </w:t>
      </w:r>
      <w:r>
        <w:rPr>
          <w:rFonts w:ascii="FangSong_GB2312" w:hAnsi="FangSong_GB2312" w:eastAsia="FangSong_GB2312" w:cs="FangSong_GB2312"/>
          <w:sz w:val="31"/>
          <w:szCs w:val="31"/>
          <w:spacing w:val="15"/>
        </w:rPr>
        <w:t>济南老字号企业出现下列情形之一的，由区、</w:t>
      </w:r>
      <w:r>
        <w:rPr>
          <w:rFonts w:ascii="FangSong_GB2312" w:hAnsi="FangSong_GB2312" w:eastAsia="FangSong_GB2312" w:cs="FangSong_GB2312"/>
          <w:sz w:val="31"/>
          <w:szCs w:val="31"/>
          <w:spacing w:val="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4"/>
        </w:rPr>
        <w:t>县（功能区）商务主管部门责令</w:t>
      </w:r>
      <w:r>
        <w:rPr>
          <w:rFonts w:ascii="FangSong_GB2312" w:hAnsi="FangSong_GB2312" w:eastAsia="FangSong_GB2312" w:cs="FangSong_GB2312"/>
          <w:sz w:val="31"/>
          <w:szCs w:val="31"/>
          <w:spacing w:val="-2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4"/>
        </w:rPr>
        <w:t>3</w:t>
      </w:r>
      <w:r>
        <w:rPr>
          <w:rFonts w:ascii="FangSong_GB2312" w:hAnsi="FangSong_GB2312" w:eastAsia="FangSong_GB2312" w:cs="FangSong_GB2312"/>
          <w:sz w:val="31"/>
          <w:szCs w:val="31"/>
          <w:spacing w:val="-5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4"/>
        </w:rPr>
        <w:t>个月内予以整改，必要时可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约谈企业负责人：</w:t>
      </w:r>
    </w:p>
    <w:p>
      <w:pPr>
        <w:ind w:left="4" w:right="5" w:firstLine="627"/>
        <w:spacing w:before="7" w:line="282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14"/>
        </w:rPr>
        <w:t>（一</w:t>
      </w:r>
      <w:r>
        <w:rPr>
          <w:rFonts w:ascii="FangSong_GB2312" w:hAnsi="FangSong_GB2312" w:eastAsia="FangSong_GB2312" w:cs="FangSong_GB2312"/>
          <w:sz w:val="31"/>
          <w:szCs w:val="31"/>
          <w:spacing w:val="-42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4"/>
        </w:rPr>
        <w:t>）企业信息发生变化后未按本办法第十一条规定及时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8"/>
        </w:rPr>
        <w:t>提交申请的；</w:t>
      </w:r>
    </w:p>
    <w:p>
      <w:pPr>
        <w:ind w:left="632"/>
        <w:spacing w:before="211" w:line="220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（二）未按本办法第十二条规定按时报送相关信息的；</w:t>
      </w:r>
    </w:p>
    <w:p>
      <w:pPr>
        <w:ind w:left="21" w:right="26" w:firstLine="611"/>
        <w:spacing w:before="210" w:line="283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（三）济南老字号标识、牌匾使用不符合《济南老字号标</w:t>
      </w: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4"/>
        </w:rPr>
        <w:t>识和牌匾使用规定》的；</w:t>
      </w:r>
    </w:p>
    <w:p>
      <w:pPr>
        <w:ind w:left="34" w:right="55" w:firstLine="597"/>
        <w:spacing w:before="209" w:line="283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30"/>
        </w:rPr>
        <w:t>（四）被相关部门作出行政处罚，或引起社会不良影响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29"/>
        </w:rPr>
        <w:t>的；</w:t>
      </w:r>
    </w:p>
    <w:p>
      <w:pPr>
        <w:ind w:left="632"/>
        <w:spacing w:before="208" w:line="220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（五）被相关部门列入经营异常名录的。</w:t>
      </w:r>
    </w:p>
    <w:p>
      <w:pPr>
        <w:ind w:right="6" w:firstLine="639"/>
        <w:spacing w:before="213" w:line="344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17"/>
        </w:rPr>
        <w:t>第十五条</w:t>
      </w:r>
      <w:r>
        <w:rPr>
          <w:rFonts w:ascii="SimHei" w:hAnsi="SimHei" w:eastAsia="SimHei" w:cs="SimHei"/>
          <w:sz w:val="31"/>
          <w:szCs w:val="31"/>
          <w:spacing w:val="17"/>
        </w:rPr>
        <w:t xml:space="preserve">  </w:t>
      </w: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济南老字号企业出现下列情形之一的，区、县</w:t>
      </w:r>
      <w:r>
        <w:rPr>
          <w:rFonts w:ascii="FangSong_GB2312" w:hAnsi="FangSong_GB2312" w:eastAsia="FangSong_GB2312" w:cs="FangSong_GB2312"/>
          <w:sz w:val="31"/>
          <w:szCs w:val="31"/>
          <w:spacing w:val="13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（功能区）商务主管部门可以建议市商务局暂停其济南老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字号标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识及牌匾使用权：</w:t>
      </w:r>
    </w:p>
    <w:p>
      <w:pPr>
        <w:ind w:left="41" w:right="29" w:firstLine="591"/>
        <w:spacing w:before="8" w:line="282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13"/>
        </w:rPr>
        <w:t>（一</w:t>
      </w:r>
      <w:r>
        <w:rPr>
          <w:rFonts w:ascii="FangSong_GB2312" w:hAnsi="FangSong_GB2312" w:eastAsia="FangSong_GB2312" w:cs="FangSong_GB2312"/>
          <w:sz w:val="31"/>
          <w:szCs w:val="31"/>
          <w:spacing w:val="-4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3"/>
        </w:rPr>
        <w:t>）被区、县（功能区）商务主管部门约谈，未按时整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7"/>
        </w:rPr>
        <w:t>改或整改措施不力的；</w:t>
      </w:r>
    </w:p>
    <w:p>
      <w:pPr>
        <w:ind w:left="632"/>
        <w:spacing w:before="211" w:line="220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（二）被相关部门列入严重违法失信名单的。</w:t>
      </w:r>
    </w:p>
    <w:p>
      <w:pPr>
        <w:ind w:left="21" w:right="5" w:firstLine="632"/>
        <w:spacing w:before="210" w:line="345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市商务局认为确有必要的，应当作出暂停其济南老字号标</w:t>
      </w: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"/>
        </w:rPr>
        <w:t>识及牌匾使用权的决定，并责令其于</w:t>
      </w:r>
      <w:r>
        <w:rPr>
          <w:rFonts w:ascii="FangSong_GB2312" w:hAnsi="FangSong_GB2312" w:eastAsia="FangSong_GB2312" w:cs="FangSong_GB2312"/>
          <w:sz w:val="31"/>
          <w:szCs w:val="31"/>
          <w:spacing w:val="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"/>
        </w:rPr>
        <w:t>3</w:t>
      </w:r>
      <w:r>
        <w:rPr>
          <w:rFonts w:ascii="FangSong_GB2312" w:hAnsi="FangSong_GB2312" w:eastAsia="FangSong_GB2312" w:cs="FangSong_GB2312"/>
          <w:sz w:val="31"/>
          <w:szCs w:val="31"/>
          <w:spacing w:val="-6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"/>
        </w:rPr>
        <w:t>个月内完成整改。</w:t>
      </w:r>
    </w:p>
    <w:p>
      <w:pPr>
        <w:ind w:left="8" w:firstLine="644"/>
        <w:spacing w:before="1" w:line="345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济南老字号企业整改完成后，由区、县（功能区）商务主</w:t>
      </w:r>
      <w:r>
        <w:rPr>
          <w:rFonts w:ascii="FangSong_GB2312" w:hAnsi="FangSong_GB2312" w:eastAsia="FangSong_GB2312" w:cs="FangSong_GB2312"/>
          <w:sz w:val="31"/>
          <w:szCs w:val="31"/>
          <w:spacing w:val="15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管部门对整改情况进行审核，并提出审核意见报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市商务局。市商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务局认为整改到位的，应当作出撤销暂停其济南老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字号标识及牌</w:t>
      </w:r>
    </w:p>
    <w:p>
      <w:pPr>
        <w:spacing w:line="345" w:lineRule="auto"/>
        <w:sectPr>
          <w:footerReference w:type="default" r:id="rId14"/>
          <w:pgSz w:w="11905" w:h="16840"/>
          <w:pgMar w:top="1431" w:right="1516" w:bottom="1508" w:left="1535" w:header="0" w:footer="1146" w:gutter="0"/>
        </w:sectPr>
        <w:rPr>
          <w:rFonts w:ascii="FangSong_GB2312" w:hAnsi="FangSong_GB2312" w:eastAsia="FangSong_GB2312" w:cs="FangSong_GB2312"/>
          <w:sz w:val="31"/>
          <w:szCs w:val="31"/>
        </w:rPr>
      </w:pPr>
    </w:p>
    <w:p>
      <w:pPr>
        <w:spacing w:line="319" w:lineRule="auto"/>
        <w:rPr>
          <w:rFonts w:ascii="Arial"/>
          <w:sz w:val="21"/>
        </w:rPr>
      </w:pPr>
      <w:r/>
    </w:p>
    <w:p>
      <w:pPr>
        <w:spacing w:line="319" w:lineRule="auto"/>
        <w:rPr>
          <w:rFonts w:ascii="Arial"/>
          <w:sz w:val="21"/>
        </w:rPr>
      </w:pPr>
      <w:r/>
    </w:p>
    <w:p>
      <w:pPr>
        <w:ind w:left="37"/>
        <w:spacing w:before="101" w:line="221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</w:rPr>
        <w:t>匾使用权的决定。</w:t>
      </w:r>
    </w:p>
    <w:p>
      <w:pPr>
        <w:ind w:right="5" w:firstLine="639"/>
        <w:spacing w:before="205" w:line="345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17"/>
        </w:rPr>
        <w:t>第十六条</w:t>
      </w:r>
      <w:r>
        <w:rPr>
          <w:rFonts w:ascii="SimHei" w:hAnsi="SimHei" w:eastAsia="SimHei" w:cs="SimHei"/>
          <w:sz w:val="31"/>
          <w:szCs w:val="31"/>
          <w:spacing w:val="17"/>
        </w:rPr>
        <w:t xml:space="preserve">  </w:t>
      </w: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济南老字号企业出现下列情形之一的，区、县</w:t>
      </w:r>
      <w:r>
        <w:rPr>
          <w:rFonts w:ascii="FangSong_GB2312" w:hAnsi="FangSong_GB2312" w:eastAsia="FangSong_GB2312" w:cs="FangSong_GB2312"/>
          <w:sz w:val="31"/>
          <w:szCs w:val="31"/>
          <w:spacing w:val="13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（功能区）商务主管部门可以建议市商务局将其移出济南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老字号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"/>
        </w:rPr>
        <w:t>名录并收回济南老字号标识使用权及牌匾：</w:t>
      </w:r>
    </w:p>
    <w:p>
      <w:pPr>
        <w:ind w:left="11" w:right="43" w:firstLine="621"/>
        <w:spacing w:before="4" w:line="283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13"/>
        </w:rPr>
        <w:t>（一</w:t>
      </w:r>
      <w:r>
        <w:rPr>
          <w:rFonts w:ascii="FangSong_GB2312" w:hAnsi="FangSong_GB2312" w:eastAsia="FangSong_GB2312" w:cs="FangSong_GB2312"/>
          <w:sz w:val="31"/>
          <w:szCs w:val="31"/>
          <w:spacing w:val="-56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3"/>
        </w:rPr>
        <w:t>）企业破产清算、解散、注销、被吊销营业执照或三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3"/>
        </w:rPr>
        <w:t>年以上不开展经营活动的；</w:t>
      </w:r>
    </w:p>
    <w:p>
      <w:pPr>
        <w:ind w:left="632"/>
        <w:spacing w:before="210" w:line="220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1"/>
        </w:rPr>
        <w:t>（二）丧失老字号注册商标所有权及使用权的；</w:t>
      </w:r>
    </w:p>
    <w:p>
      <w:pPr>
        <w:ind w:left="6" w:firstLine="626"/>
        <w:spacing w:before="208" w:line="304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（三）发生严重损害消费者权益、出现重大质量问题或安</w:t>
      </w:r>
      <w:r>
        <w:rPr>
          <w:rFonts w:ascii="FangSong_GB2312" w:hAnsi="FangSong_GB2312" w:eastAsia="FangSong_GB2312" w:cs="FangSong_GB2312"/>
          <w:sz w:val="31"/>
          <w:szCs w:val="31"/>
          <w:spacing w:val="13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全事故、重复侵犯他人知识产权、严重扰乱市场秩序或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其他严重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9"/>
        </w:rPr>
        <w:t>违法行为的；</w:t>
      </w:r>
    </w:p>
    <w:p>
      <w:pPr>
        <w:ind w:left="632"/>
        <w:spacing w:before="211" w:line="220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-1"/>
        </w:rPr>
        <w:t>（四）</w:t>
      </w:r>
      <w:r>
        <w:rPr>
          <w:rFonts w:ascii="FangSong_GB2312" w:hAnsi="FangSong_GB2312" w:eastAsia="FangSong_GB2312" w:cs="FangSong_GB2312"/>
          <w:sz w:val="31"/>
          <w:szCs w:val="31"/>
          <w:spacing w:val="-68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1"/>
        </w:rPr>
        <w:t>以欺骗或其他不正当手段骗取济南老字号称号的；</w:t>
      </w:r>
    </w:p>
    <w:p>
      <w:pPr>
        <w:ind w:left="15" w:right="29" w:firstLine="617"/>
        <w:spacing w:before="210" w:line="283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（五）被暂停济南老字号标识及牌匾使用权，到期后仍未</w:t>
      </w:r>
      <w:r>
        <w:rPr>
          <w:rFonts w:ascii="FangSong_GB2312" w:hAnsi="FangSong_GB2312" w:eastAsia="FangSong_GB2312" w:cs="FangSong_GB2312"/>
          <w:sz w:val="31"/>
          <w:szCs w:val="31"/>
          <w:spacing w:val="13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10"/>
        </w:rPr>
        <w:t>有效整改的；</w:t>
      </w:r>
    </w:p>
    <w:p>
      <w:pPr>
        <w:ind w:left="35" w:right="24" w:firstLine="597"/>
        <w:spacing w:before="210" w:line="284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（六）其他不符合济南老字号和济南老字号企业基本条件</w:t>
      </w:r>
      <w:r>
        <w:rPr>
          <w:rFonts w:ascii="FangSong_GB2312" w:hAnsi="FangSong_GB2312" w:eastAsia="FangSong_GB2312" w:cs="FangSong_GB2312"/>
          <w:sz w:val="31"/>
          <w:szCs w:val="31"/>
          <w:spacing w:val="18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24"/>
        </w:rPr>
        <w:t>的。</w:t>
      </w:r>
    </w:p>
    <w:p>
      <w:pPr>
        <w:ind w:left="21" w:right="4" w:firstLine="632"/>
        <w:spacing w:before="204" w:line="345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市商务局认为确有必要的，商相关部门作出移出济南老字</w:t>
      </w: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号名录并收回济南老字号标识使用权及牌匾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的决定。</w:t>
      </w:r>
    </w:p>
    <w:p>
      <w:pPr>
        <w:ind w:left="3" w:firstLine="636"/>
        <w:spacing w:before="5" w:line="314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14"/>
        </w:rPr>
        <w:t>第十七条</w:t>
      </w:r>
      <w:r>
        <w:rPr>
          <w:rFonts w:ascii="SimHei" w:hAnsi="SimHei" w:eastAsia="SimHei" w:cs="SimHei"/>
          <w:sz w:val="31"/>
          <w:szCs w:val="31"/>
          <w:spacing w:val="14"/>
        </w:rPr>
        <w:t xml:space="preserve">  </w:t>
      </w:r>
      <w:r>
        <w:rPr>
          <w:rFonts w:ascii="FangSong_GB2312" w:hAnsi="FangSong_GB2312" w:eastAsia="FangSong_GB2312" w:cs="FangSong_GB2312"/>
          <w:sz w:val="31"/>
          <w:szCs w:val="31"/>
          <w:spacing w:val="14"/>
        </w:rPr>
        <w:t>市商务局会同相关部门原则上每</w:t>
      </w:r>
      <w:r>
        <w:rPr>
          <w:rFonts w:ascii="FangSong_GB2312" w:hAnsi="FangSong_GB2312" w:eastAsia="FangSong_GB2312" w:cs="FangSong_GB2312"/>
          <w:sz w:val="31"/>
          <w:szCs w:val="31"/>
          <w:spacing w:val="-17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4"/>
        </w:rPr>
        <w:t>3</w:t>
      </w:r>
      <w:r>
        <w:rPr>
          <w:rFonts w:ascii="FangSong_GB2312" w:hAnsi="FangSong_GB2312" w:eastAsia="FangSong_GB2312" w:cs="FangSong_GB2312"/>
          <w:sz w:val="31"/>
          <w:szCs w:val="31"/>
          <w:spacing w:val="-48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4"/>
        </w:rPr>
        <w:t>年对济南老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字号开展复核。对复核中发现已经不符合济南老字号条件的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，商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相关部门作出移出济南老字号名录、收回济南老字号标识使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用权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4"/>
        </w:rPr>
        <w:t>及牌匾的决定。</w:t>
      </w:r>
    </w:p>
    <w:p>
      <w:pPr>
        <w:ind w:right="4"/>
        <w:spacing w:before="208" w:line="223" w:lineRule="auto"/>
        <w:jc w:val="right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17"/>
        </w:rPr>
        <w:t>第十八条</w:t>
      </w:r>
      <w:r>
        <w:rPr>
          <w:rFonts w:ascii="SimHei" w:hAnsi="SimHei" w:eastAsia="SimHei" w:cs="SimHei"/>
          <w:sz w:val="31"/>
          <w:szCs w:val="31"/>
          <w:spacing w:val="17"/>
        </w:rPr>
        <w:t xml:space="preserve">  </w:t>
      </w: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市商务局作出暂停或收回济南老字号标识使用</w:t>
      </w:r>
    </w:p>
    <w:p>
      <w:pPr>
        <w:spacing w:line="223" w:lineRule="auto"/>
        <w:sectPr>
          <w:footerReference w:type="default" r:id="rId15"/>
          <w:pgSz w:w="11905" w:h="16840"/>
          <w:pgMar w:top="1431" w:right="1517" w:bottom="1508" w:left="1535" w:header="0" w:footer="1146" w:gutter="0"/>
        </w:sectPr>
        <w:rPr>
          <w:rFonts w:ascii="FangSong_GB2312" w:hAnsi="FangSong_GB2312" w:eastAsia="FangSong_GB2312" w:cs="FangSong_GB2312"/>
          <w:sz w:val="31"/>
          <w:szCs w:val="31"/>
        </w:rPr>
      </w:pPr>
    </w:p>
    <w:p>
      <w:pPr>
        <w:spacing w:line="319" w:lineRule="auto"/>
        <w:rPr>
          <w:rFonts w:ascii="Arial"/>
          <w:sz w:val="21"/>
        </w:rPr>
      </w:pPr>
      <w:r/>
    </w:p>
    <w:p>
      <w:pPr>
        <w:spacing w:line="320" w:lineRule="auto"/>
        <w:rPr>
          <w:rFonts w:ascii="Arial"/>
          <w:sz w:val="21"/>
        </w:rPr>
      </w:pPr>
      <w:r/>
    </w:p>
    <w:p>
      <w:pPr>
        <w:ind w:left="3" w:right="1" w:firstLine="11"/>
        <w:spacing w:before="101" w:line="345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权、移出济南老字号名录决定的，在市商务局官方网站向社会公</w:t>
      </w:r>
      <w:r>
        <w:rPr>
          <w:rFonts w:ascii="FangSong_GB2312" w:hAnsi="FangSong_GB2312" w:eastAsia="FangSong_GB2312" w:cs="FangSong_GB2312"/>
          <w:sz w:val="31"/>
          <w:szCs w:val="31"/>
          <w:spacing w:val="15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16"/>
        </w:rPr>
        <w:t>布。</w:t>
      </w:r>
    </w:p>
    <w:p>
      <w:pPr>
        <w:ind w:left="12" w:right="5" w:firstLine="621"/>
        <w:spacing w:before="2" w:line="344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18"/>
        </w:rPr>
        <w:t>被移出济南老字号名录的，自决定作出之日起两个申报周</w:t>
      </w:r>
      <w:r>
        <w:rPr>
          <w:rFonts w:ascii="FangSong_GB2312" w:hAnsi="FangSong_GB2312" w:eastAsia="FangSong_GB2312" w:cs="FangSong_GB2312"/>
          <w:sz w:val="31"/>
          <w:szCs w:val="31"/>
          <w:spacing w:val="12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1"/>
        </w:rPr>
        <w:t>期内不予认定济南老字号。</w:t>
      </w:r>
    </w:p>
    <w:p>
      <w:pPr>
        <w:ind w:left="3323"/>
        <w:spacing w:before="218" w:line="228" w:lineRule="auto"/>
        <w:outlineLvl w:val="1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2"/>
        </w:rPr>
        <w:t>第五章</w:t>
      </w:r>
      <w:r>
        <w:rPr>
          <w:rFonts w:ascii="SimHei" w:hAnsi="SimHei" w:eastAsia="SimHei" w:cs="SimHei"/>
          <w:sz w:val="31"/>
          <w:szCs w:val="31"/>
          <w:spacing w:val="11"/>
        </w:rPr>
        <w:t xml:space="preserve">  </w:t>
      </w:r>
      <w:r>
        <w:rPr>
          <w:rFonts w:ascii="SimHei" w:hAnsi="SimHei" w:eastAsia="SimHei" w:cs="SimHei"/>
          <w:sz w:val="31"/>
          <w:szCs w:val="31"/>
          <w:spacing w:val="2"/>
        </w:rPr>
        <w:t>其</w:t>
      </w:r>
      <w:r>
        <w:rPr>
          <w:rFonts w:ascii="SimHei" w:hAnsi="SimHei" w:eastAsia="SimHei" w:cs="SimHei"/>
          <w:sz w:val="31"/>
          <w:szCs w:val="31"/>
          <w:spacing w:val="2"/>
        </w:rPr>
        <w:t xml:space="preserve">  </w:t>
      </w:r>
      <w:r>
        <w:rPr>
          <w:rFonts w:ascii="SimHei" w:hAnsi="SimHei" w:eastAsia="SimHei" w:cs="SimHei"/>
          <w:sz w:val="31"/>
          <w:szCs w:val="31"/>
          <w:spacing w:val="2"/>
        </w:rPr>
        <w:t>他</w:t>
      </w:r>
    </w:p>
    <w:p>
      <w:pPr>
        <w:spacing w:line="314" w:lineRule="auto"/>
        <w:rPr>
          <w:rFonts w:ascii="Arial"/>
          <w:sz w:val="21"/>
        </w:rPr>
      </w:pPr>
      <w:r/>
    </w:p>
    <w:p>
      <w:pPr>
        <w:ind w:left="7" w:right="1" w:firstLine="632"/>
        <w:spacing w:before="100" w:line="314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17"/>
        </w:rPr>
        <w:t>第十九条</w:t>
      </w:r>
      <w:r>
        <w:rPr>
          <w:rFonts w:ascii="SimHei" w:hAnsi="SimHei" w:eastAsia="SimHei" w:cs="SimHei"/>
          <w:sz w:val="31"/>
          <w:szCs w:val="31"/>
          <w:spacing w:val="17"/>
        </w:rPr>
        <w:t xml:space="preserve">  </w:t>
      </w: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区、县（功能区）各相关部门加强对本行政区</w:t>
      </w:r>
      <w:r>
        <w:rPr>
          <w:rFonts w:ascii="FangSong_GB2312" w:hAnsi="FangSong_GB2312" w:eastAsia="FangSong_GB2312" w:cs="FangSong_GB2312"/>
          <w:sz w:val="31"/>
          <w:szCs w:val="31"/>
          <w:spacing w:val="13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域内老字号知识产权、历史网点、文化遗产的保护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，为老字号文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化传承、技艺改造、改革创新提供必要的政策支持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，组织开展老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3"/>
        </w:rPr>
        <w:t>字号宣传推广活动。</w:t>
      </w:r>
    </w:p>
    <w:p>
      <w:pPr>
        <w:ind w:left="3" w:right="1" w:firstLine="636"/>
        <w:spacing w:before="208" w:line="304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17"/>
        </w:rPr>
        <w:t>第二十条</w:t>
      </w:r>
      <w:r>
        <w:rPr>
          <w:rFonts w:ascii="SimHei" w:hAnsi="SimHei" w:eastAsia="SimHei" w:cs="SimHei"/>
          <w:sz w:val="31"/>
          <w:szCs w:val="31"/>
          <w:spacing w:val="17"/>
        </w:rPr>
        <w:t xml:space="preserve">  </w:t>
      </w: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济南老字号企业违反《济南老字号标识和牌匾</w:t>
      </w:r>
      <w:r>
        <w:rPr>
          <w:rFonts w:ascii="FangSong_GB2312" w:hAnsi="FangSong_GB2312" w:eastAsia="FangSong_GB2312" w:cs="FangSong_GB2312"/>
          <w:sz w:val="31"/>
          <w:szCs w:val="31"/>
          <w:spacing w:val="13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使用规定》的，市商务局和区、县（功能区）商务主管部门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可依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据本办法采取相关措施。</w:t>
      </w:r>
    </w:p>
    <w:p>
      <w:pPr>
        <w:ind w:left="7" w:firstLine="646"/>
        <w:spacing w:before="211" w:line="345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济南老字号企业因违反本办法第十五条，被暂停济南老字</w:t>
      </w:r>
      <w:r>
        <w:rPr>
          <w:rFonts w:ascii="FangSong_GB2312" w:hAnsi="FangSong_GB2312" w:eastAsia="FangSong_GB2312" w:cs="FangSong_GB2312"/>
          <w:sz w:val="31"/>
          <w:szCs w:val="31"/>
          <w:spacing w:val="15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号标识、牌匾使用权期间，</w:t>
      </w:r>
      <w:r>
        <w:rPr>
          <w:rFonts w:ascii="FangSong_GB2312" w:hAnsi="FangSong_GB2312" w:eastAsia="FangSong_GB2312" w:cs="FangSong_GB2312"/>
          <w:sz w:val="31"/>
          <w:szCs w:val="31"/>
          <w:spacing w:val="-72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应撤回其含有济南老字号标识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的相关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产品、服务，移除并妥善保存济南老字号牌匾，且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不得以济南老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3"/>
        </w:rPr>
        <w:t>字号名义开展宣传。</w:t>
      </w:r>
    </w:p>
    <w:p>
      <w:pPr>
        <w:ind w:right="7" w:firstLine="645"/>
        <w:spacing w:before="2" w:line="345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18"/>
        </w:rPr>
        <w:t>任何单位或个人冒用或滥用济南老字号标识或牌匾，违反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《商标法》《反不正当竞争法》《广告法》等法律法规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的，由市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场监管部门依法依规进行查处。</w:t>
      </w:r>
    </w:p>
    <w:p>
      <w:pPr>
        <w:ind w:left="21" w:right="1" w:firstLine="618"/>
        <w:spacing w:before="4" w:line="342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17"/>
        </w:rPr>
        <w:t>第二十一条</w:t>
      </w:r>
      <w:r>
        <w:rPr>
          <w:rFonts w:ascii="SimHei" w:hAnsi="SimHei" w:eastAsia="SimHei" w:cs="SimHei"/>
          <w:sz w:val="31"/>
          <w:szCs w:val="31"/>
          <w:spacing w:val="17"/>
        </w:rPr>
        <w:t xml:space="preserve">  </w:t>
      </w: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本办法实施前已经市商务局认定的济南老字</w:t>
      </w:r>
      <w:r>
        <w:rPr>
          <w:rFonts w:ascii="FangSong_GB2312" w:hAnsi="FangSong_GB2312" w:eastAsia="FangSong_GB2312" w:cs="FangSong_GB2312"/>
          <w:sz w:val="31"/>
          <w:szCs w:val="31"/>
          <w:spacing w:val="12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号，按照本办法管理，无需重新申报，但应当按照本办法规定进</w:t>
      </w:r>
    </w:p>
    <w:p>
      <w:pPr>
        <w:spacing w:line="342" w:lineRule="auto"/>
        <w:sectPr>
          <w:footerReference w:type="default" r:id="rId16"/>
          <w:pgSz w:w="11905" w:h="16840"/>
          <w:pgMar w:top="1431" w:right="1516" w:bottom="1508" w:left="1535" w:header="0" w:footer="1144" w:gutter="0"/>
        </w:sectPr>
        <w:rPr>
          <w:rFonts w:ascii="FangSong_GB2312" w:hAnsi="FangSong_GB2312" w:eastAsia="FangSong_GB2312" w:cs="FangSong_GB2312"/>
          <w:sz w:val="31"/>
          <w:szCs w:val="31"/>
        </w:rPr>
      </w:pPr>
    </w:p>
    <w:p>
      <w:pPr>
        <w:spacing w:line="319" w:lineRule="auto"/>
        <w:rPr>
          <w:rFonts w:ascii="Arial"/>
          <w:sz w:val="21"/>
        </w:rPr>
      </w:pPr>
      <w:r/>
    </w:p>
    <w:p>
      <w:pPr>
        <w:spacing w:line="319" w:lineRule="auto"/>
        <w:rPr>
          <w:rFonts w:ascii="Arial"/>
          <w:sz w:val="21"/>
        </w:rPr>
      </w:pPr>
      <w:r/>
    </w:p>
    <w:p>
      <w:pPr>
        <w:spacing w:before="100" w:line="222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-6"/>
        </w:rPr>
        <w:t>行定期复核。</w:t>
      </w:r>
    </w:p>
    <w:p>
      <w:pPr>
        <w:ind w:left="632"/>
        <w:spacing w:before="206" w:line="223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2"/>
        </w:rPr>
        <w:t>第二十二条</w:t>
      </w:r>
      <w:r>
        <w:rPr>
          <w:rFonts w:ascii="SimHei" w:hAnsi="SimHei" w:eastAsia="SimHei" w:cs="SimHei"/>
          <w:sz w:val="31"/>
          <w:szCs w:val="31"/>
          <w:spacing w:val="2"/>
        </w:rPr>
        <w:t xml:space="preserve">  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本办法由济南市商务局负责解释。</w:t>
      </w:r>
    </w:p>
    <w:p>
      <w:pPr>
        <w:ind w:left="632"/>
        <w:spacing w:before="205" w:line="224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-5"/>
        </w:rPr>
        <w:t>第二十三条</w:t>
      </w:r>
      <w:r>
        <w:rPr>
          <w:rFonts w:ascii="SimHei" w:hAnsi="SimHei" w:eastAsia="SimHei" w:cs="SimHei"/>
          <w:sz w:val="31"/>
          <w:szCs w:val="31"/>
          <w:spacing w:val="-5"/>
        </w:rPr>
        <w:t xml:space="preserve">  </w:t>
      </w:r>
      <w:r>
        <w:rPr>
          <w:rFonts w:ascii="FangSong_GB2312" w:hAnsi="FangSong_GB2312" w:eastAsia="FangSong_GB2312" w:cs="FangSong_GB2312"/>
          <w:sz w:val="31"/>
          <w:szCs w:val="31"/>
          <w:spacing w:val="-5"/>
        </w:rPr>
        <w:t>本办法自</w:t>
      </w:r>
      <w:r>
        <w:rPr>
          <w:rFonts w:ascii="FangSong_GB2312" w:hAnsi="FangSong_GB2312" w:eastAsia="FangSong_GB2312" w:cs="FangSong_GB2312"/>
          <w:sz w:val="31"/>
          <w:szCs w:val="31"/>
          <w:spacing w:val="-58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5"/>
        </w:rPr>
        <w:t>2024</w:t>
      </w:r>
      <w:r>
        <w:rPr>
          <w:rFonts w:ascii="FangSong_GB2312" w:hAnsi="FangSong_GB2312" w:eastAsia="FangSong_GB2312" w:cs="FangSong_GB2312"/>
          <w:sz w:val="31"/>
          <w:szCs w:val="31"/>
          <w:spacing w:val="-62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5"/>
        </w:rPr>
        <w:t>年</w:t>
      </w:r>
      <w:r>
        <w:rPr>
          <w:rFonts w:ascii="FangSong_GB2312" w:hAnsi="FangSong_GB2312" w:eastAsia="FangSong_GB2312" w:cs="FangSong_GB2312"/>
          <w:sz w:val="31"/>
          <w:szCs w:val="31"/>
          <w:spacing w:val="-53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5"/>
        </w:rPr>
        <w:t>8</w:t>
      </w:r>
      <w:r>
        <w:rPr>
          <w:rFonts w:ascii="FangSong_GB2312" w:hAnsi="FangSong_GB2312" w:eastAsia="FangSong_GB2312" w:cs="FangSong_GB2312"/>
          <w:sz w:val="31"/>
          <w:szCs w:val="31"/>
          <w:spacing w:val="-49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5"/>
        </w:rPr>
        <w:t>月</w:t>
      </w:r>
      <w:r>
        <w:rPr>
          <w:rFonts w:ascii="FangSong_GB2312" w:hAnsi="FangSong_GB2312" w:eastAsia="FangSong_GB2312" w:cs="FangSong_GB2312"/>
          <w:sz w:val="31"/>
          <w:szCs w:val="31"/>
          <w:spacing w:val="-48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5"/>
        </w:rPr>
        <w:t>1</w:t>
      </w:r>
      <w:r>
        <w:rPr>
          <w:rFonts w:ascii="FangSong_GB2312" w:hAnsi="FangSong_GB2312" w:eastAsia="FangSong_GB2312" w:cs="FangSong_GB2312"/>
          <w:sz w:val="31"/>
          <w:szCs w:val="31"/>
          <w:spacing w:val="-5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5"/>
        </w:rPr>
        <w:t>日</w:t>
      </w:r>
      <w:r>
        <w:rPr>
          <w:rFonts w:ascii="FangSong_GB2312" w:hAnsi="FangSong_GB2312" w:eastAsia="FangSong_GB2312" w:cs="FangSong_GB2312"/>
          <w:sz w:val="31"/>
          <w:szCs w:val="31"/>
          <w:spacing w:val="-6"/>
        </w:rPr>
        <w:t>施行。</w:t>
      </w:r>
    </w:p>
    <w:p>
      <w:pPr>
        <w:spacing w:line="339" w:lineRule="auto"/>
        <w:rPr>
          <w:rFonts w:ascii="Arial"/>
          <w:sz w:val="21"/>
        </w:rPr>
      </w:pPr>
      <w:r/>
    </w:p>
    <w:p>
      <w:pPr>
        <w:spacing w:line="339" w:lineRule="auto"/>
        <w:rPr>
          <w:rFonts w:ascii="Arial"/>
          <w:sz w:val="21"/>
        </w:rPr>
      </w:pPr>
      <w:r/>
    </w:p>
    <w:p>
      <w:pPr>
        <w:ind w:left="656"/>
        <w:spacing w:before="101" w:line="220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附件：济南老字号标识和牌匾使用规定</w:t>
      </w:r>
    </w:p>
    <w:p>
      <w:pPr>
        <w:spacing w:line="220" w:lineRule="auto"/>
        <w:sectPr>
          <w:footerReference w:type="default" r:id="rId17"/>
          <w:pgSz w:w="11905" w:h="16840"/>
          <w:pgMar w:top="1431" w:right="1785" w:bottom="1508" w:left="1542" w:header="0" w:footer="1144" w:gutter="0"/>
        </w:sectPr>
        <w:rPr>
          <w:rFonts w:ascii="FangSong_GB2312" w:hAnsi="FangSong_GB2312" w:eastAsia="FangSong_GB2312" w:cs="FangSong_GB2312"/>
          <w:sz w:val="31"/>
          <w:szCs w:val="31"/>
        </w:rPr>
      </w:pP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ind w:left="17"/>
        <w:spacing w:before="100" w:line="230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-4"/>
        </w:rPr>
        <w:t>附件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1" w:lineRule="auto"/>
        <w:rPr>
          <w:rFonts w:ascii="Arial"/>
          <w:sz w:val="21"/>
        </w:rPr>
      </w:pPr>
      <w:r/>
    </w:p>
    <w:p>
      <w:pPr>
        <w:pStyle w:val="BodyText"/>
        <w:ind w:left="1359"/>
        <w:spacing w:before="167" w:line="239" w:lineRule="auto"/>
        <w:outlineLvl w:val="1"/>
        <w:rPr>
          <w:sz w:val="43"/>
          <w:szCs w:val="43"/>
        </w:rPr>
      </w:pPr>
      <w:r>
        <w:rPr>
          <w:sz w:val="43"/>
          <w:szCs w:val="43"/>
          <w:spacing w:val="6"/>
        </w:rPr>
        <w:t>济南老字号标识和牌匾使用规定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ind w:firstLine="632"/>
        <w:spacing w:before="101" w:line="304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17"/>
        </w:rPr>
        <w:t>第一条</w:t>
      </w:r>
      <w:r>
        <w:rPr>
          <w:rFonts w:ascii="SimHei" w:hAnsi="SimHei" w:eastAsia="SimHei" w:cs="SimHei"/>
          <w:sz w:val="31"/>
          <w:szCs w:val="31"/>
          <w:spacing w:val="17"/>
        </w:rPr>
        <w:t xml:space="preserve">  </w:t>
      </w: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为维护济南老字号信誉，加强对济南老字号标识</w:t>
      </w:r>
      <w:r>
        <w:rPr>
          <w:rFonts w:ascii="FangSong_GB2312" w:hAnsi="FangSong_GB2312" w:eastAsia="FangSong_GB2312" w:cs="FangSong_GB2312"/>
          <w:sz w:val="31"/>
          <w:szCs w:val="31"/>
          <w:spacing w:val="13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和牌匾的管理，规范济南老字号标识和牌匾的使用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，依据《济南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老字号认定及管理办法》,制定本规定。</w:t>
      </w:r>
    </w:p>
    <w:p>
      <w:pPr>
        <w:ind w:left="632"/>
        <w:spacing w:before="209" w:line="224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5"/>
        </w:rPr>
        <w:t>第二条</w:t>
      </w:r>
      <w:r>
        <w:rPr>
          <w:rFonts w:ascii="SimHei" w:hAnsi="SimHei" w:eastAsia="SimHei" w:cs="SimHei"/>
          <w:sz w:val="31"/>
          <w:szCs w:val="31"/>
          <w:spacing w:val="5"/>
        </w:rPr>
        <w:t xml:space="preserve">  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济南老字号标识和牌匾的使用应当遵循本规定。</w:t>
      </w:r>
    </w:p>
    <w:p>
      <w:pPr>
        <w:ind w:firstLine="632"/>
        <w:spacing w:before="201" w:line="315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17"/>
        </w:rPr>
        <w:t>第三条</w:t>
      </w:r>
      <w:r>
        <w:rPr>
          <w:rFonts w:ascii="SimHei" w:hAnsi="SimHei" w:eastAsia="SimHei" w:cs="SimHei"/>
          <w:sz w:val="31"/>
          <w:szCs w:val="31"/>
          <w:spacing w:val="17"/>
        </w:rPr>
        <w:t xml:space="preserve">  </w:t>
      </w: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济南市商务局对济南老字号标识和牌匾的使用实</w:t>
      </w:r>
      <w:r>
        <w:rPr>
          <w:rFonts w:ascii="FangSong_GB2312" w:hAnsi="FangSong_GB2312" w:eastAsia="FangSong_GB2312" w:cs="FangSong_GB2312"/>
          <w:sz w:val="31"/>
          <w:szCs w:val="31"/>
          <w:spacing w:val="13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行统一管理和监督。各区、县（功能区）商务主管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部门按照职责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分工对所辖区域内济南老字号标识和牌匾的使用进行管理与监</w:t>
      </w:r>
      <w:r>
        <w:rPr>
          <w:rFonts w:ascii="FangSong_GB2312" w:hAnsi="FangSong_GB2312" w:eastAsia="FangSong_GB2312" w:cs="FangSong_GB2312"/>
          <w:sz w:val="31"/>
          <w:szCs w:val="31"/>
          <w:spacing w:val="14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17"/>
        </w:rPr>
        <w:t>督。</w:t>
      </w:r>
    </w:p>
    <w:p>
      <w:pPr>
        <w:ind w:left="5" w:right="1" w:firstLine="627"/>
        <w:spacing w:before="207" w:line="304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17"/>
        </w:rPr>
        <w:t>第四条</w:t>
      </w:r>
      <w:r>
        <w:rPr>
          <w:rFonts w:ascii="SimHei" w:hAnsi="SimHei" w:eastAsia="SimHei" w:cs="SimHei"/>
          <w:sz w:val="31"/>
          <w:szCs w:val="31"/>
          <w:spacing w:val="17"/>
        </w:rPr>
        <w:t xml:space="preserve">  </w:t>
      </w: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济南老字号标识适用于市商务局认定的济南老字</w:t>
      </w:r>
      <w:r>
        <w:rPr>
          <w:rFonts w:ascii="FangSong_GB2312" w:hAnsi="FangSong_GB2312" w:eastAsia="FangSong_GB2312" w:cs="FangSong_GB2312"/>
          <w:sz w:val="31"/>
          <w:szCs w:val="31"/>
          <w:spacing w:val="13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号及济南老字号企业。未被认定为济南老字号的企业或个人，不</w:t>
      </w: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得使用济南老字号标识和文字。</w:t>
      </w:r>
    </w:p>
    <w:p>
      <w:pPr>
        <w:ind w:left="26" w:right="4" w:firstLine="606"/>
        <w:spacing w:before="208" w:line="283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17"/>
        </w:rPr>
        <w:t>第五条</w:t>
      </w:r>
      <w:r>
        <w:rPr>
          <w:rFonts w:ascii="SimHei" w:hAnsi="SimHei" w:eastAsia="SimHei" w:cs="SimHei"/>
          <w:sz w:val="31"/>
          <w:szCs w:val="31"/>
          <w:spacing w:val="17"/>
        </w:rPr>
        <w:t xml:space="preserve">  </w:t>
      </w: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济南老字号标识属市商务局所有，由标准图形和</w:t>
      </w:r>
      <w:r>
        <w:rPr>
          <w:rFonts w:ascii="FangSong_GB2312" w:hAnsi="FangSong_GB2312" w:eastAsia="FangSong_GB2312" w:cs="FangSong_GB2312"/>
          <w:sz w:val="31"/>
          <w:szCs w:val="31"/>
          <w:spacing w:val="13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“济南老字号”中英文文字组成，图形可单独使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用，也可与文字</w:t>
      </w:r>
    </w:p>
    <w:p>
      <w:pPr>
        <w:ind w:right="10" w:firstLine="3"/>
        <w:spacing w:before="211" w:line="345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组合使用。标识设有标准色</w:t>
      </w:r>
      <w:r>
        <w:rPr>
          <w:rFonts w:ascii="FangSong_GB2312" w:hAnsi="FangSong_GB2312" w:eastAsia="FangSong_GB2312" w:cs="FangSong_GB2312"/>
          <w:sz w:val="31"/>
          <w:szCs w:val="31"/>
          <w:spacing w:val="-32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2</w:t>
      </w:r>
      <w:r>
        <w:rPr>
          <w:rFonts w:ascii="FangSong_GB2312" w:hAnsi="FangSong_GB2312" w:eastAsia="FangSong_GB2312" w:cs="FangSong_GB2312"/>
          <w:sz w:val="31"/>
          <w:szCs w:val="31"/>
          <w:spacing w:val="-48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色、标准组合</w:t>
      </w:r>
      <w:r>
        <w:rPr>
          <w:rFonts w:ascii="FangSong_GB2312" w:hAnsi="FangSong_GB2312" w:eastAsia="FangSong_GB2312" w:cs="FangSong_GB2312"/>
          <w:sz w:val="31"/>
          <w:szCs w:val="31"/>
          <w:spacing w:val="-34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3</w:t>
      </w:r>
      <w:r>
        <w:rPr>
          <w:rFonts w:ascii="FangSong_GB2312" w:hAnsi="FangSong_GB2312" w:eastAsia="FangSong_GB2312" w:cs="FangSong_GB2312"/>
          <w:sz w:val="31"/>
          <w:szCs w:val="31"/>
          <w:spacing w:val="-47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种供企业选用。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推荐使用第一种“济南老字号”2</w:t>
      </w:r>
      <w:r>
        <w:rPr>
          <w:rFonts w:ascii="FangSong_GB2312" w:hAnsi="FangSong_GB2312" w:eastAsia="FangSong_GB2312" w:cs="FangSong_GB2312"/>
          <w:sz w:val="31"/>
          <w:szCs w:val="31"/>
          <w:spacing w:val="-43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色标识。济南老字号标识标准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图形、标准字体、标准色彩、标准组合详见附（《济南老字号标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4"/>
        </w:rPr>
        <w:t>识标准式样》）。</w:t>
      </w:r>
    </w:p>
    <w:p>
      <w:pPr>
        <w:ind w:left="632"/>
        <w:spacing w:before="3" w:line="223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15"/>
        </w:rPr>
        <w:t>第六条</w:t>
      </w:r>
      <w:r>
        <w:rPr>
          <w:rFonts w:ascii="SimHei" w:hAnsi="SimHei" w:eastAsia="SimHei" w:cs="SimHei"/>
          <w:sz w:val="31"/>
          <w:szCs w:val="31"/>
          <w:spacing w:val="15"/>
        </w:rPr>
        <w:t xml:space="preserve">  </w:t>
      </w:r>
      <w:r>
        <w:rPr>
          <w:rFonts w:ascii="FangSong_GB2312" w:hAnsi="FangSong_GB2312" w:eastAsia="FangSong_GB2312" w:cs="FangSong_GB2312"/>
          <w:sz w:val="31"/>
          <w:szCs w:val="31"/>
          <w:spacing w:val="15"/>
        </w:rPr>
        <w:t>济南老字号企业可以在相应产品或服务的包装、</w:t>
      </w:r>
    </w:p>
    <w:p>
      <w:pPr>
        <w:spacing w:line="223" w:lineRule="auto"/>
        <w:sectPr>
          <w:footerReference w:type="default" r:id="rId18"/>
          <w:pgSz w:w="11905" w:h="16840"/>
          <w:pgMar w:top="1431" w:right="1517" w:bottom="1508" w:left="1542" w:header="0" w:footer="1146" w:gutter="0"/>
        </w:sectPr>
        <w:rPr>
          <w:rFonts w:ascii="FangSong_GB2312" w:hAnsi="FangSong_GB2312" w:eastAsia="FangSong_GB2312" w:cs="FangSong_GB2312"/>
          <w:sz w:val="31"/>
          <w:szCs w:val="31"/>
        </w:rPr>
      </w:pPr>
    </w:p>
    <w:p>
      <w:pPr>
        <w:spacing w:line="317" w:lineRule="auto"/>
        <w:rPr>
          <w:rFonts w:ascii="Arial"/>
          <w:sz w:val="21"/>
        </w:rPr>
      </w:pPr>
      <w:r/>
    </w:p>
    <w:p>
      <w:pPr>
        <w:spacing w:line="318" w:lineRule="auto"/>
        <w:rPr>
          <w:rFonts w:ascii="Arial"/>
          <w:sz w:val="21"/>
        </w:rPr>
      </w:pPr>
      <w:r/>
    </w:p>
    <w:p>
      <w:pPr>
        <w:ind w:left="23" w:hanging="17"/>
        <w:spacing w:before="101" w:line="345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装潢、各类资料、广告宣传及互联网等媒介中使用统一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规定的济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7"/>
        </w:rPr>
        <w:t>南老字号标识。</w:t>
      </w:r>
    </w:p>
    <w:p>
      <w:pPr>
        <w:ind w:left="6" w:firstLine="632"/>
        <w:spacing w:before="4" w:line="314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17"/>
        </w:rPr>
        <w:t>第七条</w:t>
      </w:r>
      <w:r>
        <w:rPr>
          <w:rFonts w:ascii="SimHei" w:hAnsi="SimHei" w:eastAsia="SimHei" w:cs="SimHei"/>
          <w:sz w:val="31"/>
          <w:szCs w:val="31"/>
          <w:spacing w:val="17"/>
        </w:rPr>
        <w:t xml:space="preserve">  </w:t>
      </w: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济南老字号标识只能用于与济南老字号相一致的</w:t>
      </w:r>
      <w:r>
        <w:rPr>
          <w:rFonts w:ascii="FangSong_GB2312" w:hAnsi="FangSong_GB2312" w:eastAsia="FangSong_GB2312" w:cs="FangSong_GB2312"/>
          <w:sz w:val="31"/>
          <w:szCs w:val="31"/>
          <w:spacing w:val="13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产品或服务上，以其老字号注册商标核定使用的商品或服务为</w:t>
      </w:r>
      <w:r>
        <w:rPr>
          <w:rFonts w:ascii="FangSong_GB2312" w:hAnsi="FangSong_GB2312" w:eastAsia="FangSong_GB2312" w:cs="FangSong_GB2312"/>
          <w:sz w:val="31"/>
          <w:szCs w:val="31"/>
          <w:spacing w:val="14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限，并应明显标注获得认定的企业名称，不得扩大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使用范围。同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时，应符合《商标法》《广告法》等相关法律法规要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求。</w:t>
      </w:r>
    </w:p>
    <w:p>
      <w:pPr>
        <w:ind w:left="6" w:right="5" w:firstLine="632"/>
        <w:spacing w:before="208" w:line="283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17"/>
        </w:rPr>
        <w:t>第八条</w:t>
      </w:r>
      <w:r>
        <w:rPr>
          <w:rFonts w:ascii="SimHei" w:hAnsi="SimHei" w:eastAsia="SimHei" w:cs="SimHei"/>
          <w:sz w:val="31"/>
          <w:szCs w:val="31"/>
          <w:spacing w:val="17"/>
        </w:rPr>
        <w:t xml:space="preserve">  </w:t>
      </w: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济南老字号标识在使用时，必须根据规定式样使</w:t>
      </w:r>
      <w:r>
        <w:rPr>
          <w:rFonts w:ascii="FangSong_GB2312" w:hAnsi="FangSong_GB2312" w:eastAsia="FangSong_GB2312" w:cs="FangSong_GB2312"/>
          <w:sz w:val="31"/>
          <w:szCs w:val="31"/>
          <w:spacing w:val="13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"/>
        </w:rPr>
        <w:t>用，可按比例放大或缩小，</w:t>
      </w:r>
      <w:r>
        <w:rPr>
          <w:rFonts w:ascii="FangSong_GB2312" w:hAnsi="FangSong_GB2312" w:eastAsia="FangSong_GB2312" w:cs="FangSong_GB2312"/>
          <w:sz w:val="31"/>
          <w:szCs w:val="31"/>
          <w:spacing w:val="-83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"/>
        </w:rPr>
        <w:t>但不得更改标识的比例关系和</w:t>
      </w:r>
      <w:r>
        <w:rPr>
          <w:rFonts w:ascii="FangSong_GB2312" w:hAnsi="FangSong_GB2312" w:eastAsia="FangSong_GB2312" w:cs="FangSong_GB2312"/>
          <w:sz w:val="31"/>
          <w:szCs w:val="31"/>
        </w:rPr>
        <w:t>色值。</w:t>
      </w:r>
    </w:p>
    <w:p>
      <w:pPr>
        <w:ind w:left="15" w:right="5" w:firstLine="622"/>
        <w:spacing w:before="209" w:line="283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17"/>
        </w:rPr>
        <w:t>第九条</w:t>
      </w:r>
      <w:r>
        <w:rPr>
          <w:rFonts w:ascii="SimHei" w:hAnsi="SimHei" w:eastAsia="SimHei" w:cs="SimHei"/>
          <w:sz w:val="31"/>
          <w:szCs w:val="31"/>
          <w:spacing w:val="17"/>
        </w:rPr>
        <w:t xml:space="preserve">  </w:t>
      </w: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济南老字号标识在印刷时，附着媒介的底色不得</w:t>
      </w:r>
      <w:r>
        <w:rPr>
          <w:rFonts w:ascii="FangSong_GB2312" w:hAnsi="FangSong_GB2312" w:eastAsia="FangSong_GB2312" w:cs="FangSong_GB2312"/>
          <w:sz w:val="31"/>
          <w:szCs w:val="31"/>
          <w:spacing w:val="13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影响标识的标准色值，不得透叠其他色彩和图案。</w:t>
      </w:r>
    </w:p>
    <w:p>
      <w:pPr>
        <w:ind w:left="6" w:right="1" w:firstLine="632"/>
        <w:spacing w:before="210" w:line="305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17"/>
        </w:rPr>
        <w:t>第十条</w:t>
      </w:r>
      <w:r>
        <w:rPr>
          <w:rFonts w:ascii="SimHei" w:hAnsi="SimHei" w:eastAsia="SimHei" w:cs="SimHei"/>
          <w:sz w:val="31"/>
          <w:szCs w:val="31"/>
          <w:spacing w:val="17"/>
        </w:rPr>
        <w:t xml:space="preserve">  </w:t>
      </w: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市商务局统一制作和颁发济南老字号牌匾，未经</w:t>
      </w:r>
      <w:r>
        <w:rPr>
          <w:rFonts w:ascii="FangSong_GB2312" w:hAnsi="FangSong_GB2312" w:eastAsia="FangSong_GB2312" w:cs="FangSong_GB2312"/>
          <w:sz w:val="31"/>
          <w:szCs w:val="31"/>
          <w:spacing w:val="13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许可，任何组织或个人不得自行制作、伪造、变造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、销售或者冒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17"/>
        </w:rPr>
        <w:t>用。</w:t>
      </w:r>
    </w:p>
    <w:p>
      <w:pPr>
        <w:ind w:left="638"/>
        <w:spacing w:before="203" w:line="224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1"/>
        </w:rPr>
        <w:t>第十一条</w:t>
      </w:r>
      <w:r>
        <w:rPr>
          <w:rFonts w:ascii="SimHei" w:hAnsi="SimHei" w:eastAsia="SimHei" w:cs="SimHei"/>
          <w:sz w:val="31"/>
          <w:szCs w:val="31"/>
          <w:spacing w:val="1"/>
        </w:rPr>
        <w:t xml:space="preserve">  </w:t>
      </w:r>
      <w:r>
        <w:rPr>
          <w:rFonts w:ascii="FangSong_GB2312" w:hAnsi="FangSong_GB2312" w:eastAsia="FangSong_GB2312" w:cs="FangSong_GB2312"/>
          <w:sz w:val="31"/>
          <w:szCs w:val="31"/>
          <w:spacing w:val="1"/>
        </w:rPr>
        <w:t>济南老字号牌匾不得复制。</w:t>
      </w:r>
    </w:p>
    <w:p>
      <w:pPr>
        <w:ind w:right="1" w:firstLine="638"/>
        <w:spacing w:before="207" w:line="314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17"/>
        </w:rPr>
        <w:t>第十二条</w:t>
      </w:r>
      <w:r>
        <w:rPr>
          <w:rFonts w:ascii="SimHei" w:hAnsi="SimHei" w:eastAsia="SimHei" w:cs="SimHei"/>
          <w:sz w:val="31"/>
          <w:szCs w:val="31"/>
          <w:spacing w:val="17"/>
        </w:rPr>
        <w:t xml:space="preserve">  </w:t>
      </w: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济南老字号牌匾应悬挂或放置于济南老字号企</w:t>
      </w:r>
      <w:r>
        <w:rPr>
          <w:rFonts w:ascii="FangSong_GB2312" w:hAnsi="FangSong_GB2312" w:eastAsia="FangSong_GB2312" w:cs="FangSong_GB2312"/>
          <w:sz w:val="31"/>
          <w:szCs w:val="31"/>
          <w:spacing w:val="13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业主要办公或经营场所，牌匾需保持牢固安全、整洁、美观，任</w:t>
      </w:r>
      <w:r>
        <w:rPr>
          <w:rFonts w:ascii="FangSong_GB2312" w:hAnsi="FangSong_GB2312" w:eastAsia="FangSong_GB2312" w:cs="FangSong_GB2312"/>
          <w:sz w:val="31"/>
          <w:szCs w:val="31"/>
          <w:spacing w:val="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何组织或个人不得随意侵占、污损、破坏牌匾。涉及不可移动文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物的，悬挂、放置牌匾不得破坏文物。</w:t>
      </w:r>
    </w:p>
    <w:p>
      <w:pPr>
        <w:ind w:left="3" w:firstLine="634"/>
        <w:spacing w:before="209" w:line="314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17"/>
        </w:rPr>
        <w:t>第十三条</w:t>
      </w:r>
      <w:r>
        <w:rPr>
          <w:rFonts w:ascii="SimHei" w:hAnsi="SimHei" w:eastAsia="SimHei" w:cs="SimHei"/>
          <w:sz w:val="31"/>
          <w:szCs w:val="31"/>
          <w:spacing w:val="17"/>
        </w:rPr>
        <w:t xml:space="preserve">  </w:t>
      </w: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被市商务局移出济南老字号名录并收回济南老</w:t>
      </w:r>
      <w:r>
        <w:rPr>
          <w:rFonts w:ascii="FangSong_GB2312" w:hAnsi="FangSong_GB2312" w:eastAsia="FangSong_GB2312" w:cs="FangSong_GB2312"/>
          <w:sz w:val="31"/>
          <w:szCs w:val="31"/>
          <w:spacing w:val="13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字号标识使用权及牌匾的企业，自市商务局作出决定之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日起，停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止使用济南老字号标识，并负责清理自身使用的有关济南老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字号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标识；济南老字号牌匾由所在区、县（功能区）商务主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管部门负</w:t>
      </w:r>
    </w:p>
    <w:p>
      <w:pPr>
        <w:spacing w:line="314" w:lineRule="auto"/>
        <w:sectPr>
          <w:footerReference w:type="default" r:id="rId19"/>
          <w:pgSz w:w="11905" w:h="16840"/>
          <w:pgMar w:top="1431" w:right="1516" w:bottom="1508" w:left="1536" w:header="0" w:footer="1144" w:gutter="0"/>
        </w:sectPr>
        <w:rPr>
          <w:rFonts w:ascii="FangSong_GB2312" w:hAnsi="FangSong_GB2312" w:eastAsia="FangSong_GB2312" w:cs="FangSong_GB2312"/>
          <w:sz w:val="31"/>
          <w:szCs w:val="31"/>
        </w:rPr>
      </w:pPr>
    </w:p>
    <w:p>
      <w:pPr>
        <w:spacing w:line="318" w:lineRule="auto"/>
        <w:rPr>
          <w:rFonts w:ascii="Arial"/>
          <w:sz w:val="21"/>
        </w:rPr>
      </w:pPr>
      <w:r/>
    </w:p>
    <w:p>
      <w:pPr>
        <w:spacing w:line="319" w:lineRule="auto"/>
        <w:rPr>
          <w:rFonts w:ascii="Arial"/>
          <w:sz w:val="21"/>
        </w:rPr>
      </w:pPr>
      <w:r/>
    </w:p>
    <w:p>
      <w:pPr>
        <w:ind w:left="9"/>
        <w:spacing w:before="101" w:line="220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1"/>
        </w:rPr>
        <w:t>责收回，交回市商务局统一注销和销毁。</w:t>
      </w:r>
    </w:p>
    <w:p>
      <w:pPr>
        <w:ind w:firstLine="632"/>
        <w:spacing w:before="207" w:line="345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17"/>
        </w:rPr>
        <w:t>第十四条</w:t>
      </w:r>
      <w:r>
        <w:rPr>
          <w:rFonts w:ascii="SimHei" w:hAnsi="SimHei" w:eastAsia="SimHei" w:cs="SimHei"/>
          <w:sz w:val="31"/>
          <w:szCs w:val="31"/>
          <w:spacing w:val="17"/>
        </w:rPr>
        <w:t xml:space="preserve">  </w:t>
      </w: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济南老字号企业的企业名称和注册商标人名义</w:t>
      </w:r>
      <w:r>
        <w:rPr>
          <w:rFonts w:ascii="FangSong_GB2312" w:hAnsi="FangSong_GB2312" w:eastAsia="FangSong_GB2312" w:cs="FangSong_GB2312"/>
          <w:sz w:val="31"/>
          <w:szCs w:val="31"/>
          <w:spacing w:val="13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发生变更后，济南老字号标识和牌匾的使用权随之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变更，但须按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照《济南老字号认定及管理办法》规定报市商务局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备案。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ind w:left="656"/>
        <w:spacing w:before="100" w:line="220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附：济南老字号标识标准式样</w:t>
      </w:r>
    </w:p>
    <w:p>
      <w:pPr>
        <w:spacing w:line="220" w:lineRule="auto"/>
        <w:sectPr>
          <w:footerReference w:type="default" r:id="rId20"/>
          <w:pgSz w:w="11905" w:h="16840"/>
          <w:pgMar w:top="1431" w:right="1518" w:bottom="1508" w:left="1542" w:header="0" w:footer="1146" w:gutter="0"/>
        </w:sectPr>
        <w:rPr>
          <w:rFonts w:ascii="FangSong_GB2312" w:hAnsi="FangSong_GB2312" w:eastAsia="FangSong_GB2312" w:cs="FangSong_GB2312"/>
          <w:sz w:val="31"/>
          <w:szCs w:val="31"/>
        </w:rPr>
      </w:pP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ind w:left="30"/>
        <w:spacing w:before="101" w:line="231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</w:rPr>
        <w:t>附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2026"/>
        <w:spacing w:before="167" w:line="218" w:lineRule="auto"/>
        <w:outlineLvl w:val="1"/>
        <w:rPr>
          <w:sz w:val="43"/>
          <w:szCs w:val="43"/>
        </w:rPr>
      </w:pPr>
      <w:r>
        <w:rPr>
          <w:sz w:val="43"/>
          <w:szCs w:val="43"/>
          <w:spacing w:val="6"/>
        </w:rPr>
        <w:t>济南老字号标识标准式样</w:t>
      </w:r>
    </w:p>
    <w:p>
      <w:pPr>
        <w:spacing w:line="11247" w:lineRule="exact"/>
        <w:rPr/>
      </w:pPr>
      <w:r>
        <w:rPr>
          <w:position w:val="-224"/>
        </w:rPr>
        <w:drawing>
          <wp:inline distT="0" distB="0" distL="0" distR="0">
            <wp:extent cx="5599938" cy="7142225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99938" cy="71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247" w:lineRule="exact"/>
        <w:sectPr>
          <w:footerReference w:type="default" r:id="rId21"/>
          <w:pgSz w:w="11905" w:h="16840"/>
          <w:pgMar w:top="1431" w:right="1555" w:bottom="1508" w:left="1530" w:header="0" w:footer="1146" w:gutter="0"/>
        </w:sectPr>
        <w:rPr/>
      </w:pP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12416" w:lineRule="exact"/>
        <w:rPr/>
      </w:pPr>
      <w:r>
        <w:rPr>
          <w:position w:val="-248"/>
        </w:rPr>
        <w:drawing>
          <wp:inline distT="0" distB="0" distL="0" distR="0">
            <wp:extent cx="5580888" cy="7883651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0888" cy="788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416" w:lineRule="exact"/>
        <w:sectPr>
          <w:footerReference w:type="default" r:id="rId23"/>
          <w:pgSz w:w="11905" w:h="16840"/>
          <w:pgMar w:top="1431" w:right="1555" w:bottom="1508" w:left="1560" w:header="0" w:footer="1146" w:gutter="0"/>
        </w:sectPr>
        <w:rPr/>
      </w:pP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12416" w:lineRule="exact"/>
        <w:rPr/>
      </w:pPr>
      <w:r>
        <w:rPr>
          <w:position w:val="-248"/>
        </w:rPr>
        <w:drawing>
          <wp:inline distT="0" distB="0" distL="0" distR="0">
            <wp:extent cx="5580888" cy="7883651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0888" cy="788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416" w:lineRule="exact"/>
        <w:sectPr>
          <w:footerReference w:type="default" r:id="rId25"/>
          <w:pgSz w:w="11905" w:h="16840"/>
          <w:pgMar w:top="1431" w:right="1555" w:bottom="1508" w:left="1560" w:header="0" w:footer="1146" w:gutter="0"/>
        </w:sectPr>
        <w:rPr/>
      </w:pP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12416" w:lineRule="exact"/>
        <w:rPr/>
      </w:pPr>
      <w:r>
        <w:rPr>
          <w:position w:val="-248"/>
        </w:rPr>
        <w:drawing>
          <wp:inline distT="0" distB="0" distL="0" distR="0">
            <wp:extent cx="5580888" cy="7883651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0888" cy="788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416" w:lineRule="exact"/>
        <w:sectPr>
          <w:footerReference w:type="default" r:id="rId27"/>
          <w:pgSz w:w="11905" w:h="16840"/>
          <w:pgMar w:top="1431" w:right="1555" w:bottom="1508" w:left="1560" w:header="0" w:footer="1146" w:gutter="0"/>
        </w:sectPr>
        <w:rPr/>
      </w:pP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12416" w:lineRule="exact"/>
        <w:rPr/>
      </w:pPr>
      <w:r>
        <w:rPr>
          <w:position w:val="-248"/>
        </w:rPr>
        <w:drawing>
          <wp:inline distT="0" distB="0" distL="0" distR="0">
            <wp:extent cx="5580888" cy="7883651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0888" cy="788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416" w:lineRule="exact"/>
        <w:sectPr>
          <w:footerReference w:type="default" r:id="rId29"/>
          <w:pgSz w:w="11905" w:h="16840"/>
          <w:pgMar w:top="1431" w:right="1555" w:bottom="1508" w:left="1560" w:header="0" w:footer="1146" w:gutter="0"/>
        </w:sectPr>
        <w:rPr/>
      </w:pP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12416" w:lineRule="exact"/>
        <w:rPr/>
      </w:pPr>
      <w:r>
        <w:rPr>
          <w:position w:val="-248"/>
        </w:rPr>
        <w:drawing>
          <wp:inline distT="0" distB="0" distL="0" distR="0">
            <wp:extent cx="5580888" cy="7883651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0888" cy="788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416" w:lineRule="exact"/>
        <w:sectPr>
          <w:footerReference w:type="default" r:id="rId31"/>
          <w:pgSz w:w="11905" w:h="16840"/>
          <w:pgMar w:top="1431" w:right="1555" w:bottom="1508" w:left="1560" w:header="0" w:footer="1144" w:gutter="0"/>
        </w:sectPr>
        <w:rPr/>
      </w:pP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12416" w:lineRule="exact"/>
        <w:rPr/>
      </w:pPr>
      <w:r>
        <w:rPr>
          <w:position w:val="-248"/>
        </w:rPr>
        <w:drawing>
          <wp:inline distT="0" distB="0" distL="0" distR="0">
            <wp:extent cx="5580888" cy="7883651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0888" cy="788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416" w:lineRule="exact"/>
        <w:sectPr>
          <w:footerReference w:type="default" r:id="rId33"/>
          <w:pgSz w:w="11905" w:h="16840"/>
          <w:pgMar w:top="1431" w:right="1555" w:bottom="1508" w:left="1560" w:header="0" w:footer="1144" w:gutter="0"/>
        </w:sectPr>
        <w:rPr/>
      </w:pP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12416" w:lineRule="exact"/>
        <w:rPr/>
      </w:pPr>
      <w:r>
        <w:rPr>
          <w:position w:val="-248"/>
        </w:rPr>
        <w:drawing>
          <wp:inline distT="0" distB="0" distL="0" distR="0">
            <wp:extent cx="5580888" cy="7883651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0888" cy="788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416" w:lineRule="exact"/>
        <w:sectPr>
          <w:footerReference w:type="default" r:id="rId35"/>
          <w:pgSz w:w="11905" w:h="16840"/>
          <w:pgMar w:top="1431" w:right="1555" w:bottom="1508" w:left="1560" w:header="0" w:footer="1146" w:gutter="0"/>
        </w:sectPr>
        <w:rPr/>
      </w:pP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12416" w:lineRule="exact"/>
        <w:rPr/>
      </w:pPr>
      <w:r>
        <w:rPr>
          <w:position w:val="-248"/>
        </w:rPr>
        <w:drawing>
          <wp:inline distT="0" distB="0" distL="0" distR="0">
            <wp:extent cx="5580888" cy="7883651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0888" cy="788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416" w:lineRule="exact"/>
        <w:sectPr>
          <w:footerReference w:type="default" r:id="rId37"/>
          <w:pgSz w:w="11905" w:h="16840"/>
          <w:pgMar w:top="1431" w:right="1555" w:bottom="1508" w:left="1560" w:header="0" w:footer="1144" w:gutter="0"/>
        </w:sectPr>
        <w:rPr/>
      </w:pP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12416" w:lineRule="exact"/>
        <w:rPr/>
      </w:pPr>
      <w:r>
        <w:rPr>
          <w:position w:val="-248"/>
        </w:rPr>
        <w:drawing>
          <wp:inline distT="0" distB="0" distL="0" distR="0">
            <wp:extent cx="5580888" cy="7883651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0888" cy="788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416" w:lineRule="exact"/>
        <w:sectPr>
          <w:footerReference w:type="default" r:id="rId39"/>
          <w:pgSz w:w="11905" w:h="16840"/>
          <w:pgMar w:top="1431" w:right="1555" w:bottom="1508" w:left="1560" w:header="0" w:footer="1146" w:gutter="0"/>
        </w:sectPr>
        <w:rPr/>
      </w:pP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12416" w:lineRule="exact"/>
        <w:rPr/>
      </w:pPr>
      <w:r>
        <w:rPr>
          <w:position w:val="-248"/>
        </w:rPr>
        <w:drawing>
          <wp:inline distT="0" distB="0" distL="0" distR="0">
            <wp:extent cx="5580888" cy="7883651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0888" cy="788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416" w:lineRule="exact"/>
        <w:sectPr>
          <w:footerReference w:type="default" r:id="rId41"/>
          <w:pgSz w:w="11905" w:h="16840"/>
          <w:pgMar w:top="1431" w:right="1555" w:bottom="1508" w:left="1560" w:header="0" w:footer="1146" w:gutter="0"/>
        </w:sectPr>
        <w:rPr/>
      </w:pP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6208" w:lineRule="exact"/>
        <w:rPr/>
      </w:pPr>
      <w:r>
        <w:rPr>
          <w:position w:val="-124"/>
        </w:rPr>
        <w:drawing>
          <wp:inline distT="0" distB="0" distL="0" distR="0">
            <wp:extent cx="5580888" cy="3941825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0888" cy="394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208" w:lineRule="exact"/>
        <w:sectPr>
          <w:footerReference w:type="default" r:id="rId43"/>
          <w:pgSz w:w="11905" w:h="16840"/>
          <w:pgMar w:top="1431" w:right="1555" w:bottom="1508" w:left="1560" w:header="0" w:footer="1146" w:gutter="0"/>
        </w:sectPr>
        <w:rPr/>
      </w:pPr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tbl>
      <w:tblPr>
        <w:tblStyle w:val="TableNormal"/>
        <w:tblW w:w="8843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4282"/>
        <w:gridCol w:w="4561"/>
      </w:tblGrid>
      <w:tr>
        <w:trPr>
          <w:trHeight w:val="570" w:hRule="atLeast"/>
        </w:trPr>
        <w:tc>
          <w:tcPr>
            <w:tcW w:w="4282" w:type="dxa"/>
            <w:vAlign w:val="top"/>
            <w:tcBorders>
              <w:bottom w:val="single" w:color="000000" w:sz="8" w:space="0"/>
              <w:top w:val="single" w:color="000000" w:sz="8" w:space="0"/>
            </w:tcBorders>
          </w:tcPr>
          <w:p>
            <w:pPr>
              <w:ind w:left="352"/>
              <w:spacing w:before="141" w:line="221" w:lineRule="auto"/>
              <w:rPr>
                <w:rFonts w:ascii="FangSong_GB2312" w:hAnsi="FangSong_GB2312" w:eastAsia="FangSong_GB2312" w:cs="FangSong_GB2312"/>
                <w:sz w:val="27"/>
                <w:szCs w:val="27"/>
              </w:rPr>
            </w:pPr>
            <w:r>
              <w:rPr>
                <w:rFonts w:ascii="FangSong_GB2312" w:hAnsi="FangSong_GB2312" w:eastAsia="FangSong_GB2312" w:cs="FangSong_GB2312"/>
                <w:sz w:val="27"/>
                <w:szCs w:val="27"/>
                <w:spacing w:val="3"/>
              </w:rPr>
              <w:t>济南市商务局办公室</w:t>
            </w:r>
          </w:p>
        </w:tc>
        <w:tc>
          <w:tcPr>
            <w:tcW w:w="4561" w:type="dxa"/>
            <w:vAlign w:val="top"/>
            <w:tcBorders>
              <w:bottom w:val="single" w:color="000000" w:sz="8" w:space="0"/>
              <w:top w:val="single" w:color="000000" w:sz="8" w:space="0"/>
            </w:tcBorders>
          </w:tcPr>
          <w:p>
            <w:pPr>
              <w:ind w:left="1587"/>
              <w:spacing w:before="142" w:line="221" w:lineRule="auto"/>
              <w:rPr>
                <w:rFonts w:ascii="FangSong_GB2312" w:hAnsi="FangSong_GB2312" w:eastAsia="FangSong_GB2312" w:cs="FangSong_GB2312"/>
                <w:sz w:val="27"/>
                <w:szCs w:val="27"/>
              </w:rPr>
            </w:pPr>
            <w:r>
              <w:rPr>
                <w:rFonts w:ascii="FangSong_GB2312" w:hAnsi="FangSong_GB2312" w:eastAsia="FangSong_GB2312" w:cs="FangSong_GB2312"/>
                <w:sz w:val="27"/>
                <w:szCs w:val="27"/>
                <w:spacing w:val="-8"/>
              </w:rPr>
              <w:t>2024</w:t>
            </w:r>
            <w:r>
              <w:rPr>
                <w:rFonts w:ascii="FangSong_GB2312" w:hAnsi="FangSong_GB2312" w:eastAsia="FangSong_GB2312" w:cs="FangSong_GB2312"/>
                <w:sz w:val="27"/>
                <w:szCs w:val="27"/>
                <w:spacing w:val="-45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7"/>
                <w:szCs w:val="27"/>
                <w:spacing w:val="-8"/>
              </w:rPr>
              <w:t>年</w:t>
            </w:r>
            <w:r>
              <w:rPr>
                <w:rFonts w:ascii="FangSong_GB2312" w:hAnsi="FangSong_GB2312" w:eastAsia="FangSong_GB2312" w:cs="FangSong_GB2312"/>
                <w:sz w:val="27"/>
                <w:szCs w:val="27"/>
                <w:spacing w:val="-45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7"/>
                <w:szCs w:val="27"/>
                <w:spacing w:val="-8"/>
              </w:rPr>
              <w:t>6</w:t>
            </w:r>
            <w:r>
              <w:rPr>
                <w:rFonts w:ascii="FangSong_GB2312" w:hAnsi="FangSong_GB2312" w:eastAsia="FangSong_GB2312" w:cs="FangSong_GB2312"/>
                <w:sz w:val="27"/>
                <w:szCs w:val="27"/>
                <w:spacing w:val="-44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7"/>
                <w:szCs w:val="27"/>
                <w:spacing w:val="-8"/>
              </w:rPr>
              <w:t>月</w:t>
            </w:r>
            <w:r>
              <w:rPr>
                <w:rFonts w:ascii="FangSong_GB2312" w:hAnsi="FangSong_GB2312" w:eastAsia="FangSong_GB2312" w:cs="FangSong_GB2312"/>
                <w:sz w:val="27"/>
                <w:szCs w:val="27"/>
                <w:spacing w:val="-47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7"/>
                <w:szCs w:val="27"/>
                <w:spacing w:val="-8"/>
              </w:rPr>
              <w:t>27</w:t>
            </w:r>
            <w:r>
              <w:rPr>
                <w:rFonts w:ascii="FangSong_GB2312" w:hAnsi="FangSong_GB2312" w:eastAsia="FangSong_GB2312" w:cs="FangSong_GB2312"/>
                <w:sz w:val="27"/>
                <w:szCs w:val="27"/>
                <w:spacing w:val="-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27"/>
                <w:szCs w:val="27"/>
                <w:spacing w:val="-8"/>
              </w:rPr>
              <w:t>日印发</w:t>
            </w:r>
          </w:p>
        </w:tc>
      </w:tr>
    </w:tbl>
    <w:p>
      <w:pPr>
        <w:rPr>
          <w:rFonts w:ascii="Arial"/>
          <w:sz w:val="21"/>
        </w:rPr>
      </w:pPr>
      <w:r/>
    </w:p>
    <w:sectPr>
      <w:footerReference w:type="default" r:id="rId45"/>
      <w:pgSz w:w="11905" w:h="16840"/>
      <w:pgMar w:top="1431" w:right="1546" w:bottom="1508" w:left="1514" w:header="0" w:footer="1146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FZXiaoBiaoSong-B05S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FangSong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569"/>
      <w:spacing w:before="1" w:line="241" w:lineRule="auto"/>
      <w:rPr>
        <w:rFonts w:ascii="SimSun" w:hAnsi="SimSun" w:eastAsia="SimSun" w:cs="SimSun"/>
        <w:sz w:val="27"/>
        <w:szCs w:val="27"/>
      </w:rPr>
    </w:pPr>
    <w:r>
      <w:rPr>
        <w:rFonts w:ascii="SimSun" w:hAnsi="SimSun" w:eastAsia="SimSun" w:cs="SimSun"/>
        <w:sz w:val="27"/>
        <w:szCs w:val="27"/>
        <w:spacing w:val="-9"/>
      </w:rPr>
      <w:t>—</w:t>
    </w:r>
    <w:r>
      <w:rPr>
        <w:rFonts w:ascii="SimSun" w:hAnsi="SimSun" w:eastAsia="SimSun" w:cs="SimSun"/>
        <w:sz w:val="27"/>
        <w:szCs w:val="27"/>
        <w:spacing w:val="38"/>
      </w:rPr>
      <w:t xml:space="preserve"> </w:t>
    </w:r>
    <w:r>
      <w:rPr>
        <w:rFonts w:ascii="SimSun" w:hAnsi="SimSun" w:eastAsia="SimSun" w:cs="SimSun"/>
        <w:sz w:val="27"/>
        <w:szCs w:val="27"/>
        <w:spacing w:val="-9"/>
      </w:rPr>
      <w:t>1</w:t>
    </w:r>
    <w:r>
      <w:rPr>
        <w:rFonts w:ascii="SimSun" w:hAnsi="SimSun" w:eastAsia="SimSun" w:cs="SimSun"/>
        <w:sz w:val="27"/>
        <w:szCs w:val="27"/>
        <w:spacing w:val="13"/>
      </w:rPr>
      <w:t xml:space="preserve"> </w:t>
    </w:r>
    <w:r>
      <w:rPr>
        <w:rFonts w:ascii="SimSun" w:hAnsi="SimSun" w:eastAsia="SimSun" w:cs="SimSun"/>
        <w:sz w:val="27"/>
        <w:szCs w:val="27"/>
        <w:spacing w:val="-9"/>
      </w:rPr>
      <w:t>—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37"/>
      <w:rPr>
        <w:rFonts w:ascii="SimSun" w:hAnsi="SimSun" w:eastAsia="SimSun" w:cs="SimSun"/>
        <w:sz w:val="27"/>
        <w:szCs w:val="27"/>
      </w:rPr>
    </w:pPr>
    <w:r>
      <w:rPr>
        <w:rFonts w:ascii="SimSun" w:hAnsi="SimSun" w:eastAsia="SimSun" w:cs="SimSun"/>
        <w:sz w:val="27"/>
        <w:szCs w:val="27"/>
        <w:spacing w:val="-5"/>
      </w:rPr>
      <w:t>—</w:t>
    </w:r>
    <w:r>
      <w:rPr>
        <w:rFonts w:ascii="SimSun" w:hAnsi="SimSun" w:eastAsia="SimSun" w:cs="SimSun"/>
        <w:sz w:val="27"/>
        <w:szCs w:val="27"/>
        <w:spacing w:val="36"/>
      </w:rPr>
      <w:t xml:space="preserve"> </w:t>
    </w:r>
    <w:r>
      <w:rPr>
        <w:rFonts w:ascii="SimSun" w:hAnsi="SimSun" w:eastAsia="SimSun" w:cs="SimSun"/>
        <w:sz w:val="27"/>
        <w:szCs w:val="27"/>
        <w:spacing w:val="-5"/>
      </w:rPr>
      <w:t>10</w:t>
    </w:r>
    <w:r>
      <w:rPr>
        <w:rFonts w:ascii="SimSun" w:hAnsi="SimSun" w:eastAsia="SimSun" w:cs="SimSun"/>
        <w:sz w:val="27"/>
        <w:szCs w:val="27"/>
        <w:spacing w:val="14"/>
      </w:rPr>
      <w:t xml:space="preserve"> </w:t>
    </w:r>
    <w:r>
      <w:rPr>
        <w:rFonts w:ascii="SimSun" w:hAnsi="SimSun" w:eastAsia="SimSun" w:cs="SimSun"/>
        <w:sz w:val="27"/>
        <w:szCs w:val="27"/>
        <w:spacing w:val="-5"/>
      </w:rPr>
      <w:t>—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494"/>
      <w:spacing w:before="1" w:line="241" w:lineRule="auto"/>
      <w:rPr>
        <w:rFonts w:ascii="SimSun" w:hAnsi="SimSun" w:eastAsia="SimSun" w:cs="SimSun"/>
        <w:sz w:val="27"/>
        <w:szCs w:val="27"/>
      </w:rPr>
    </w:pPr>
    <w:r>
      <w:rPr>
        <w:rFonts w:ascii="SimSun" w:hAnsi="SimSun" w:eastAsia="SimSun" w:cs="SimSun"/>
        <w:sz w:val="27"/>
        <w:szCs w:val="27"/>
        <w:spacing w:val="-5"/>
      </w:rPr>
      <w:t>—</w:t>
    </w:r>
    <w:r>
      <w:rPr>
        <w:rFonts w:ascii="SimSun" w:hAnsi="SimSun" w:eastAsia="SimSun" w:cs="SimSun"/>
        <w:sz w:val="27"/>
        <w:szCs w:val="27"/>
        <w:spacing w:val="37"/>
      </w:rPr>
      <w:t xml:space="preserve"> </w:t>
    </w:r>
    <w:r>
      <w:rPr>
        <w:rFonts w:ascii="SimSun" w:hAnsi="SimSun" w:eastAsia="SimSun" w:cs="SimSun"/>
        <w:sz w:val="27"/>
        <w:szCs w:val="27"/>
        <w:spacing w:val="-5"/>
      </w:rPr>
      <w:t>11</w:t>
    </w:r>
    <w:r>
      <w:rPr>
        <w:rFonts w:ascii="SimSun" w:hAnsi="SimSun" w:eastAsia="SimSun" w:cs="SimSun"/>
        <w:sz w:val="27"/>
        <w:szCs w:val="27"/>
        <w:spacing w:val="14"/>
      </w:rPr>
      <w:t xml:space="preserve"> </w:t>
    </w:r>
    <w:r>
      <w:rPr>
        <w:rFonts w:ascii="SimSun" w:hAnsi="SimSun" w:eastAsia="SimSun" w:cs="SimSun"/>
        <w:sz w:val="27"/>
        <w:szCs w:val="27"/>
        <w:spacing w:val="-5"/>
      </w:rPr>
      <w:t>—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30"/>
      <w:spacing w:before="1" w:line="241" w:lineRule="auto"/>
      <w:rPr>
        <w:rFonts w:ascii="SimSun" w:hAnsi="SimSun" w:eastAsia="SimSun" w:cs="SimSun"/>
        <w:sz w:val="27"/>
        <w:szCs w:val="27"/>
      </w:rPr>
    </w:pPr>
    <w:r>
      <w:rPr>
        <w:rFonts w:ascii="SimSun" w:hAnsi="SimSun" w:eastAsia="SimSun" w:cs="SimSun"/>
        <w:sz w:val="27"/>
        <w:szCs w:val="27"/>
        <w:spacing w:val="-5"/>
      </w:rPr>
      <w:t>—</w:t>
    </w:r>
    <w:r>
      <w:rPr>
        <w:rFonts w:ascii="SimSun" w:hAnsi="SimSun" w:eastAsia="SimSun" w:cs="SimSun"/>
        <w:sz w:val="27"/>
        <w:szCs w:val="27"/>
        <w:spacing w:val="36"/>
      </w:rPr>
      <w:t xml:space="preserve"> </w:t>
    </w:r>
    <w:r>
      <w:rPr>
        <w:rFonts w:ascii="SimSun" w:hAnsi="SimSun" w:eastAsia="SimSun" w:cs="SimSun"/>
        <w:sz w:val="27"/>
        <w:szCs w:val="27"/>
        <w:spacing w:val="-5"/>
      </w:rPr>
      <w:t>12</w:t>
    </w:r>
    <w:r>
      <w:rPr>
        <w:rFonts w:ascii="SimSun" w:hAnsi="SimSun" w:eastAsia="SimSun" w:cs="SimSun"/>
        <w:sz w:val="27"/>
        <w:szCs w:val="27"/>
        <w:spacing w:val="14"/>
      </w:rPr>
      <w:t xml:space="preserve"> </w:t>
    </w:r>
    <w:r>
      <w:rPr>
        <w:rFonts w:ascii="SimSun" w:hAnsi="SimSun" w:eastAsia="SimSun" w:cs="SimSun"/>
        <w:sz w:val="27"/>
        <w:szCs w:val="27"/>
        <w:spacing w:val="-5"/>
      </w:rPr>
      <w:t>—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486"/>
      <w:rPr>
        <w:rFonts w:ascii="SimSun" w:hAnsi="SimSun" w:eastAsia="SimSun" w:cs="SimSun"/>
        <w:sz w:val="27"/>
        <w:szCs w:val="27"/>
      </w:rPr>
    </w:pPr>
    <w:r>
      <w:rPr>
        <w:rFonts w:ascii="SimSun" w:hAnsi="SimSun" w:eastAsia="SimSun" w:cs="SimSun"/>
        <w:sz w:val="27"/>
        <w:szCs w:val="27"/>
        <w:spacing w:val="-5"/>
      </w:rPr>
      <w:t>—</w:t>
    </w:r>
    <w:r>
      <w:rPr>
        <w:rFonts w:ascii="SimSun" w:hAnsi="SimSun" w:eastAsia="SimSun" w:cs="SimSun"/>
        <w:sz w:val="27"/>
        <w:szCs w:val="27"/>
        <w:spacing w:val="37"/>
      </w:rPr>
      <w:t xml:space="preserve"> </w:t>
    </w:r>
    <w:r>
      <w:rPr>
        <w:rFonts w:ascii="SimSun" w:hAnsi="SimSun" w:eastAsia="SimSun" w:cs="SimSun"/>
        <w:sz w:val="27"/>
        <w:szCs w:val="27"/>
        <w:spacing w:val="-5"/>
      </w:rPr>
      <w:t>13</w:t>
    </w:r>
    <w:r>
      <w:rPr>
        <w:rFonts w:ascii="SimSun" w:hAnsi="SimSun" w:eastAsia="SimSun" w:cs="SimSun"/>
        <w:sz w:val="27"/>
        <w:szCs w:val="27"/>
        <w:spacing w:val="14"/>
      </w:rPr>
      <w:t xml:space="preserve"> </w:t>
    </w:r>
    <w:r>
      <w:rPr>
        <w:rFonts w:ascii="SimSun" w:hAnsi="SimSun" w:eastAsia="SimSun" w:cs="SimSun"/>
        <w:sz w:val="27"/>
        <w:szCs w:val="27"/>
        <w:spacing w:val="-5"/>
      </w:rPr>
      <w:t>—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36"/>
      <w:spacing w:before="1" w:line="241" w:lineRule="auto"/>
      <w:rPr>
        <w:rFonts w:ascii="SimSun" w:hAnsi="SimSun" w:eastAsia="SimSun" w:cs="SimSun"/>
        <w:sz w:val="27"/>
        <w:szCs w:val="27"/>
      </w:rPr>
    </w:pPr>
    <w:r>
      <w:rPr>
        <w:rFonts w:ascii="SimSun" w:hAnsi="SimSun" w:eastAsia="SimSun" w:cs="SimSun"/>
        <w:sz w:val="27"/>
        <w:szCs w:val="27"/>
        <w:spacing w:val="-5"/>
      </w:rPr>
      <w:t>—</w:t>
    </w:r>
    <w:r>
      <w:rPr>
        <w:rFonts w:ascii="SimSun" w:hAnsi="SimSun" w:eastAsia="SimSun" w:cs="SimSun"/>
        <w:sz w:val="27"/>
        <w:szCs w:val="27"/>
        <w:spacing w:val="36"/>
      </w:rPr>
      <w:t xml:space="preserve"> </w:t>
    </w:r>
    <w:r>
      <w:rPr>
        <w:rFonts w:ascii="SimSun" w:hAnsi="SimSun" w:eastAsia="SimSun" w:cs="SimSun"/>
        <w:sz w:val="27"/>
        <w:szCs w:val="27"/>
        <w:spacing w:val="-5"/>
      </w:rPr>
      <w:t>14</w:t>
    </w:r>
    <w:r>
      <w:rPr>
        <w:rFonts w:ascii="SimSun" w:hAnsi="SimSun" w:eastAsia="SimSun" w:cs="SimSun"/>
        <w:sz w:val="27"/>
        <w:szCs w:val="27"/>
        <w:spacing w:val="14"/>
      </w:rPr>
      <w:t xml:space="preserve"> </w:t>
    </w:r>
    <w:r>
      <w:rPr>
        <w:rFonts w:ascii="SimSun" w:hAnsi="SimSun" w:eastAsia="SimSun" w:cs="SimSun"/>
        <w:sz w:val="27"/>
        <w:szCs w:val="27"/>
        <w:spacing w:val="-5"/>
      </w:rPr>
      <w:t>—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486"/>
      <w:rPr>
        <w:rFonts w:ascii="SimSun" w:hAnsi="SimSun" w:eastAsia="SimSun" w:cs="SimSun"/>
        <w:sz w:val="27"/>
        <w:szCs w:val="27"/>
      </w:rPr>
    </w:pPr>
    <w:r>
      <w:rPr>
        <w:rFonts w:ascii="SimSun" w:hAnsi="SimSun" w:eastAsia="SimSun" w:cs="SimSun"/>
        <w:sz w:val="27"/>
        <w:szCs w:val="27"/>
        <w:spacing w:val="-5"/>
      </w:rPr>
      <w:t>—</w:t>
    </w:r>
    <w:r>
      <w:rPr>
        <w:rFonts w:ascii="SimSun" w:hAnsi="SimSun" w:eastAsia="SimSun" w:cs="SimSun"/>
        <w:sz w:val="27"/>
        <w:szCs w:val="27"/>
        <w:spacing w:val="37"/>
      </w:rPr>
      <w:t xml:space="preserve"> </w:t>
    </w:r>
    <w:r>
      <w:rPr>
        <w:rFonts w:ascii="SimSun" w:hAnsi="SimSun" w:eastAsia="SimSun" w:cs="SimSun"/>
        <w:sz w:val="27"/>
        <w:szCs w:val="27"/>
        <w:spacing w:val="-5"/>
      </w:rPr>
      <w:t>15</w:t>
    </w:r>
    <w:r>
      <w:rPr>
        <w:rFonts w:ascii="SimSun" w:hAnsi="SimSun" w:eastAsia="SimSun" w:cs="SimSun"/>
        <w:sz w:val="27"/>
        <w:szCs w:val="27"/>
        <w:spacing w:val="14"/>
      </w:rPr>
      <w:t xml:space="preserve"> </w:t>
    </w:r>
    <w:r>
      <w:rPr>
        <w:rFonts w:ascii="SimSun" w:hAnsi="SimSun" w:eastAsia="SimSun" w:cs="SimSun"/>
        <w:sz w:val="27"/>
        <w:szCs w:val="27"/>
        <w:spacing w:val="-5"/>
      </w:rPr>
      <w:t>—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42"/>
      <w:rPr>
        <w:rFonts w:ascii="SimSun" w:hAnsi="SimSun" w:eastAsia="SimSun" w:cs="SimSun"/>
        <w:sz w:val="27"/>
        <w:szCs w:val="27"/>
      </w:rPr>
    </w:pPr>
    <w:r>
      <w:rPr>
        <w:rFonts w:ascii="SimSun" w:hAnsi="SimSun" w:eastAsia="SimSun" w:cs="SimSun"/>
        <w:sz w:val="27"/>
        <w:szCs w:val="27"/>
        <w:spacing w:val="-5"/>
      </w:rPr>
      <w:t>—</w:t>
    </w:r>
    <w:r>
      <w:rPr>
        <w:rFonts w:ascii="SimSun" w:hAnsi="SimSun" w:eastAsia="SimSun" w:cs="SimSun"/>
        <w:sz w:val="27"/>
        <w:szCs w:val="27"/>
        <w:spacing w:val="36"/>
      </w:rPr>
      <w:t xml:space="preserve"> </w:t>
    </w:r>
    <w:r>
      <w:rPr>
        <w:rFonts w:ascii="SimSun" w:hAnsi="SimSun" w:eastAsia="SimSun" w:cs="SimSun"/>
        <w:sz w:val="27"/>
        <w:szCs w:val="27"/>
        <w:spacing w:val="-5"/>
      </w:rPr>
      <w:t>16</w:t>
    </w:r>
    <w:r>
      <w:rPr>
        <w:rFonts w:ascii="SimSun" w:hAnsi="SimSun" w:eastAsia="SimSun" w:cs="SimSun"/>
        <w:sz w:val="27"/>
        <w:szCs w:val="27"/>
        <w:spacing w:val="14"/>
      </w:rPr>
      <w:t xml:space="preserve"> </w:t>
    </w:r>
    <w:r>
      <w:rPr>
        <w:rFonts w:ascii="SimSun" w:hAnsi="SimSun" w:eastAsia="SimSun" w:cs="SimSun"/>
        <w:sz w:val="27"/>
        <w:szCs w:val="27"/>
        <w:spacing w:val="-5"/>
      </w:rPr>
      <w:t>—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469"/>
      <w:rPr>
        <w:rFonts w:ascii="SimSun" w:hAnsi="SimSun" w:eastAsia="SimSun" w:cs="SimSun"/>
        <w:sz w:val="27"/>
        <w:szCs w:val="27"/>
      </w:rPr>
    </w:pPr>
    <w:r>
      <w:rPr>
        <w:rFonts w:ascii="SimSun" w:hAnsi="SimSun" w:eastAsia="SimSun" w:cs="SimSun"/>
        <w:sz w:val="27"/>
        <w:szCs w:val="27"/>
        <w:spacing w:val="-5"/>
      </w:rPr>
      <w:t>—</w:t>
    </w:r>
    <w:r>
      <w:rPr>
        <w:rFonts w:ascii="SimSun" w:hAnsi="SimSun" w:eastAsia="SimSun" w:cs="SimSun"/>
        <w:sz w:val="27"/>
        <w:szCs w:val="27"/>
        <w:spacing w:val="37"/>
      </w:rPr>
      <w:t xml:space="preserve"> </w:t>
    </w:r>
    <w:r>
      <w:rPr>
        <w:rFonts w:ascii="SimSun" w:hAnsi="SimSun" w:eastAsia="SimSun" w:cs="SimSun"/>
        <w:sz w:val="27"/>
        <w:szCs w:val="27"/>
        <w:spacing w:val="-5"/>
      </w:rPr>
      <w:t>17</w:t>
    </w:r>
    <w:r>
      <w:rPr>
        <w:rFonts w:ascii="SimSun" w:hAnsi="SimSun" w:eastAsia="SimSun" w:cs="SimSun"/>
        <w:sz w:val="27"/>
        <w:szCs w:val="27"/>
        <w:spacing w:val="14"/>
      </w:rPr>
      <w:t xml:space="preserve"> </w:t>
    </w:r>
    <w:r>
      <w:rPr>
        <w:rFonts w:ascii="SimSun" w:hAnsi="SimSun" w:eastAsia="SimSun" w:cs="SimSun"/>
        <w:sz w:val="27"/>
        <w:szCs w:val="27"/>
        <w:spacing w:val="-5"/>
      </w:rPr>
      <w:t>—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12"/>
      <w:rPr>
        <w:rFonts w:ascii="SimSun" w:hAnsi="SimSun" w:eastAsia="SimSun" w:cs="SimSun"/>
        <w:sz w:val="27"/>
        <w:szCs w:val="27"/>
      </w:rPr>
    </w:pPr>
    <w:r>
      <w:rPr>
        <w:rFonts w:ascii="SimSun" w:hAnsi="SimSun" w:eastAsia="SimSun" w:cs="SimSun"/>
        <w:sz w:val="27"/>
        <w:szCs w:val="27"/>
        <w:spacing w:val="-5"/>
      </w:rPr>
      <w:t>—</w:t>
    </w:r>
    <w:r>
      <w:rPr>
        <w:rFonts w:ascii="SimSun" w:hAnsi="SimSun" w:eastAsia="SimSun" w:cs="SimSun"/>
        <w:sz w:val="27"/>
        <w:szCs w:val="27"/>
        <w:spacing w:val="36"/>
      </w:rPr>
      <w:t xml:space="preserve"> </w:t>
    </w:r>
    <w:r>
      <w:rPr>
        <w:rFonts w:ascii="SimSun" w:hAnsi="SimSun" w:eastAsia="SimSun" w:cs="SimSun"/>
        <w:sz w:val="27"/>
        <w:szCs w:val="27"/>
        <w:spacing w:val="-5"/>
      </w:rPr>
      <w:t>18</w:t>
    </w:r>
    <w:r>
      <w:rPr>
        <w:rFonts w:ascii="SimSun" w:hAnsi="SimSun" w:eastAsia="SimSun" w:cs="SimSun"/>
        <w:sz w:val="27"/>
        <w:szCs w:val="27"/>
        <w:spacing w:val="14"/>
      </w:rPr>
      <w:t xml:space="preserve"> </w:t>
    </w:r>
    <w:r>
      <w:rPr>
        <w:rFonts w:ascii="SimSun" w:hAnsi="SimSun" w:eastAsia="SimSun" w:cs="SimSun"/>
        <w:sz w:val="27"/>
        <w:szCs w:val="27"/>
        <w:spacing w:val="-5"/>
      </w:rPr>
      <w:t>—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469"/>
      <w:rPr>
        <w:rFonts w:ascii="SimSun" w:hAnsi="SimSun" w:eastAsia="SimSun" w:cs="SimSun"/>
        <w:sz w:val="27"/>
        <w:szCs w:val="27"/>
      </w:rPr>
    </w:pPr>
    <w:r>
      <w:rPr>
        <w:rFonts w:ascii="SimSun" w:hAnsi="SimSun" w:eastAsia="SimSun" w:cs="SimSun"/>
        <w:sz w:val="27"/>
        <w:szCs w:val="27"/>
        <w:spacing w:val="-5"/>
      </w:rPr>
      <w:t>—</w:t>
    </w:r>
    <w:r>
      <w:rPr>
        <w:rFonts w:ascii="SimSun" w:hAnsi="SimSun" w:eastAsia="SimSun" w:cs="SimSun"/>
        <w:sz w:val="27"/>
        <w:szCs w:val="27"/>
        <w:spacing w:val="37"/>
      </w:rPr>
      <w:t xml:space="preserve"> </w:t>
    </w:r>
    <w:r>
      <w:rPr>
        <w:rFonts w:ascii="SimSun" w:hAnsi="SimSun" w:eastAsia="SimSun" w:cs="SimSun"/>
        <w:sz w:val="27"/>
        <w:szCs w:val="27"/>
        <w:spacing w:val="-5"/>
      </w:rPr>
      <w:t>19</w:t>
    </w:r>
    <w:r>
      <w:rPr>
        <w:rFonts w:ascii="SimSun" w:hAnsi="SimSun" w:eastAsia="SimSun" w:cs="SimSun"/>
        <w:sz w:val="27"/>
        <w:szCs w:val="27"/>
        <w:spacing w:val="14"/>
      </w:rPr>
      <w:t xml:space="preserve"> </w:t>
    </w:r>
    <w:r>
      <w:rPr>
        <w:rFonts w:ascii="SimSun" w:hAnsi="SimSun" w:eastAsia="SimSun" w:cs="SimSun"/>
        <w:sz w:val="27"/>
        <w:szCs w:val="27"/>
        <w:spacing w:val="-5"/>
      </w:rPr>
      <w:t>—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88"/>
      <w:spacing w:before="1" w:line="241" w:lineRule="auto"/>
      <w:rPr>
        <w:rFonts w:ascii="SimSun" w:hAnsi="SimSun" w:eastAsia="SimSun" w:cs="SimSun"/>
        <w:sz w:val="27"/>
        <w:szCs w:val="27"/>
      </w:rPr>
    </w:pPr>
    <w:r>
      <w:rPr>
        <w:rFonts w:ascii="SimSun" w:hAnsi="SimSun" w:eastAsia="SimSun" w:cs="SimSun"/>
        <w:sz w:val="27"/>
        <w:szCs w:val="27"/>
        <w:spacing w:val="-3"/>
      </w:rPr>
      <w:t>—</w:t>
    </w:r>
    <w:r>
      <w:rPr>
        <w:rFonts w:ascii="SimSun" w:hAnsi="SimSun" w:eastAsia="SimSun" w:cs="SimSun"/>
        <w:sz w:val="27"/>
        <w:szCs w:val="27"/>
        <w:spacing w:val="21"/>
      </w:rPr>
      <w:t xml:space="preserve"> </w:t>
    </w:r>
    <w:r>
      <w:rPr>
        <w:rFonts w:ascii="SimSun" w:hAnsi="SimSun" w:eastAsia="SimSun" w:cs="SimSun"/>
        <w:sz w:val="27"/>
        <w:szCs w:val="27"/>
        <w:spacing w:val="-3"/>
      </w:rPr>
      <w:t>2</w:t>
    </w:r>
    <w:r>
      <w:rPr>
        <w:rFonts w:ascii="SimSun" w:hAnsi="SimSun" w:eastAsia="SimSun" w:cs="SimSun"/>
        <w:sz w:val="27"/>
        <w:szCs w:val="27"/>
        <w:spacing w:val="14"/>
      </w:rPr>
      <w:t xml:space="preserve"> </w:t>
    </w:r>
    <w:r>
      <w:rPr>
        <w:rFonts w:ascii="SimSun" w:hAnsi="SimSun" w:eastAsia="SimSun" w:cs="SimSun"/>
        <w:sz w:val="27"/>
        <w:szCs w:val="27"/>
        <w:spacing w:val="-3"/>
      </w:rPr>
      <w:t>—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12"/>
      <w:rPr>
        <w:rFonts w:ascii="SimSun" w:hAnsi="SimSun" w:eastAsia="SimSun" w:cs="SimSun"/>
        <w:sz w:val="27"/>
        <w:szCs w:val="27"/>
      </w:rPr>
    </w:pPr>
    <w:r>
      <w:rPr>
        <w:rFonts w:ascii="SimSun" w:hAnsi="SimSun" w:eastAsia="SimSun" w:cs="SimSun"/>
        <w:sz w:val="27"/>
        <w:szCs w:val="27"/>
        <w:spacing w:val="-1"/>
      </w:rPr>
      <w:t>—</w:t>
    </w:r>
    <w:r>
      <w:rPr>
        <w:rFonts w:ascii="SimSun" w:hAnsi="SimSun" w:eastAsia="SimSun" w:cs="SimSun"/>
        <w:sz w:val="27"/>
        <w:szCs w:val="27"/>
        <w:spacing w:val="20"/>
      </w:rPr>
      <w:t xml:space="preserve"> </w:t>
    </w:r>
    <w:r>
      <w:rPr>
        <w:rFonts w:ascii="SimSun" w:hAnsi="SimSun" w:eastAsia="SimSun" w:cs="SimSun"/>
        <w:sz w:val="27"/>
        <w:szCs w:val="27"/>
        <w:spacing w:val="-1"/>
      </w:rPr>
      <w:t>20</w:t>
    </w:r>
    <w:r>
      <w:rPr>
        <w:rFonts w:ascii="SimSun" w:hAnsi="SimSun" w:eastAsia="SimSun" w:cs="SimSun"/>
        <w:sz w:val="27"/>
        <w:szCs w:val="27"/>
        <w:spacing w:val="14"/>
      </w:rPr>
      <w:t xml:space="preserve"> </w:t>
    </w:r>
    <w:r>
      <w:rPr>
        <w:rFonts w:ascii="SimSun" w:hAnsi="SimSun" w:eastAsia="SimSun" w:cs="SimSun"/>
        <w:sz w:val="27"/>
        <w:szCs w:val="27"/>
        <w:spacing w:val="-1"/>
      </w:rPr>
      <w:t>—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469"/>
      <w:spacing w:before="1" w:line="241" w:lineRule="auto"/>
      <w:rPr>
        <w:rFonts w:ascii="SimSun" w:hAnsi="SimSun" w:eastAsia="SimSun" w:cs="SimSun"/>
        <w:sz w:val="27"/>
        <w:szCs w:val="27"/>
      </w:rPr>
    </w:pPr>
    <w:r>
      <w:rPr>
        <w:rFonts w:ascii="SimSun" w:hAnsi="SimSun" w:eastAsia="SimSun" w:cs="SimSun"/>
        <w:sz w:val="27"/>
        <w:szCs w:val="27"/>
        <w:spacing w:val="-1"/>
      </w:rPr>
      <w:t>—</w:t>
    </w:r>
    <w:r>
      <w:rPr>
        <w:rFonts w:ascii="SimSun" w:hAnsi="SimSun" w:eastAsia="SimSun" w:cs="SimSun"/>
        <w:sz w:val="27"/>
        <w:szCs w:val="27"/>
        <w:spacing w:val="20"/>
      </w:rPr>
      <w:t xml:space="preserve"> </w:t>
    </w:r>
    <w:r>
      <w:rPr>
        <w:rFonts w:ascii="SimSun" w:hAnsi="SimSun" w:eastAsia="SimSun" w:cs="SimSun"/>
        <w:sz w:val="27"/>
        <w:szCs w:val="27"/>
        <w:spacing w:val="-1"/>
      </w:rPr>
      <w:t>21</w:t>
    </w:r>
    <w:r>
      <w:rPr>
        <w:rFonts w:ascii="SimSun" w:hAnsi="SimSun" w:eastAsia="SimSun" w:cs="SimSun"/>
        <w:sz w:val="27"/>
        <w:szCs w:val="27"/>
        <w:spacing w:val="14"/>
      </w:rPr>
      <w:t xml:space="preserve"> </w:t>
    </w:r>
    <w:r>
      <w:rPr>
        <w:rFonts w:ascii="SimSun" w:hAnsi="SimSun" w:eastAsia="SimSun" w:cs="SimSun"/>
        <w:sz w:val="27"/>
        <w:szCs w:val="27"/>
        <w:spacing w:val="-1"/>
      </w:rPr>
      <w:t>—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12"/>
      <w:spacing w:before="1" w:line="241" w:lineRule="auto"/>
      <w:rPr>
        <w:rFonts w:ascii="SimSun" w:hAnsi="SimSun" w:eastAsia="SimSun" w:cs="SimSun"/>
        <w:sz w:val="27"/>
        <w:szCs w:val="27"/>
      </w:rPr>
    </w:pPr>
    <w:r>
      <w:rPr>
        <w:rFonts w:ascii="SimSun" w:hAnsi="SimSun" w:eastAsia="SimSun" w:cs="SimSun"/>
        <w:sz w:val="27"/>
        <w:szCs w:val="27"/>
        <w:spacing w:val="-1"/>
      </w:rPr>
      <w:t>—</w:t>
    </w:r>
    <w:r>
      <w:rPr>
        <w:rFonts w:ascii="SimSun" w:hAnsi="SimSun" w:eastAsia="SimSun" w:cs="SimSun"/>
        <w:sz w:val="27"/>
        <w:szCs w:val="27"/>
        <w:spacing w:val="20"/>
      </w:rPr>
      <w:t xml:space="preserve"> </w:t>
    </w:r>
    <w:r>
      <w:rPr>
        <w:rFonts w:ascii="SimSun" w:hAnsi="SimSun" w:eastAsia="SimSun" w:cs="SimSun"/>
        <w:sz w:val="27"/>
        <w:szCs w:val="27"/>
        <w:spacing w:val="-1"/>
      </w:rPr>
      <w:t>22</w:t>
    </w:r>
    <w:r>
      <w:rPr>
        <w:rFonts w:ascii="SimSun" w:hAnsi="SimSun" w:eastAsia="SimSun" w:cs="SimSun"/>
        <w:sz w:val="27"/>
        <w:szCs w:val="27"/>
        <w:spacing w:val="14"/>
      </w:rPr>
      <w:t xml:space="preserve"> </w:t>
    </w:r>
    <w:r>
      <w:rPr>
        <w:rFonts w:ascii="SimSun" w:hAnsi="SimSun" w:eastAsia="SimSun" w:cs="SimSun"/>
        <w:sz w:val="27"/>
        <w:szCs w:val="27"/>
        <w:spacing w:val="-1"/>
      </w:rPr>
      <w:t>—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469"/>
      <w:rPr>
        <w:rFonts w:ascii="SimSun" w:hAnsi="SimSun" w:eastAsia="SimSun" w:cs="SimSun"/>
        <w:sz w:val="27"/>
        <w:szCs w:val="27"/>
      </w:rPr>
    </w:pPr>
    <w:r>
      <w:rPr>
        <w:rFonts w:ascii="SimSun" w:hAnsi="SimSun" w:eastAsia="SimSun" w:cs="SimSun"/>
        <w:sz w:val="27"/>
        <w:szCs w:val="27"/>
        <w:spacing w:val="-1"/>
      </w:rPr>
      <w:t>—</w:t>
    </w:r>
    <w:r>
      <w:rPr>
        <w:rFonts w:ascii="SimSun" w:hAnsi="SimSun" w:eastAsia="SimSun" w:cs="SimSun"/>
        <w:sz w:val="27"/>
        <w:szCs w:val="27"/>
        <w:spacing w:val="20"/>
      </w:rPr>
      <w:t xml:space="preserve"> </w:t>
    </w:r>
    <w:r>
      <w:rPr>
        <w:rFonts w:ascii="SimSun" w:hAnsi="SimSun" w:eastAsia="SimSun" w:cs="SimSun"/>
        <w:sz w:val="27"/>
        <w:szCs w:val="27"/>
        <w:spacing w:val="-1"/>
      </w:rPr>
      <w:t>23</w:t>
    </w:r>
    <w:r>
      <w:rPr>
        <w:rFonts w:ascii="SimSun" w:hAnsi="SimSun" w:eastAsia="SimSun" w:cs="SimSun"/>
        <w:sz w:val="27"/>
        <w:szCs w:val="27"/>
        <w:spacing w:val="14"/>
      </w:rPr>
      <w:t xml:space="preserve"> </w:t>
    </w:r>
    <w:r>
      <w:rPr>
        <w:rFonts w:ascii="SimSun" w:hAnsi="SimSun" w:eastAsia="SimSun" w:cs="SimSun"/>
        <w:sz w:val="27"/>
        <w:szCs w:val="27"/>
        <w:spacing w:val="-1"/>
      </w:rPr>
      <w:t>—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12"/>
      <w:spacing w:before="1" w:line="241" w:lineRule="auto"/>
      <w:rPr>
        <w:rFonts w:ascii="SimSun" w:hAnsi="SimSun" w:eastAsia="SimSun" w:cs="SimSun"/>
        <w:sz w:val="27"/>
        <w:szCs w:val="27"/>
      </w:rPr>
    </w:pPr>
    <w:r>
      <w:rPr>
        <w:rFonts w:ascii="SimSun" w:hAnsi="SimSun" w:eastAsia="SimSun" w:cs="SimSun"/>
        <w:sz w:val="27"/>
        <w:szCs w:val="27"/>
        <w:spacing w:val="-1"/>
      </w:rPr>
      <w:t>—</w:t>
    </w:r>
    <w:r>
      <w:rPr>
        <w:rFonts w:ascii="SimSun" w:hAnsi="SimSun" w:eastAsia="SimSun" w:cs="SimSun"/>
        <w:sz w:val="27"/>
        <w:szCs w:val="27"/>
        <w:spacing w:val="20"/>
      </w:rPr>
      <w:t xml:space="preserve"> </w:t>
    </w:r>
    <w:r>
      <w:rPr>
        <w:rFonts w:ascii="SimSun" w:hAnsi="SimSun" w:eastAsia="SimSun" w:cs="SimSun"/>
        <w:sz w:val="27"/>
        <w:szCs w:val="27"/>
        <w:spacing w:val="-1"/>
      </w:rPr>
      <w:t>24</w:t>
    </w:r>
    <w:r>
      <w:rPr>
        <w:rFonts w:ascii="SimSun" w:hAnsi="SimSun" w:eastAsia="SimSun" w:cs="SimSun"/>
        <w:sz w:val="27"/>
        <w:szCs w:val="27"/>
        <w:spacing w:val="14"/>
      </w:rPr>
      <w:t xml:space="preserve"> </w:t>
    </w:r>
    <w:r>
      <w:rPr>
        <w:rFonts w:ascii="SimSun" w:hAnsi="SimSun" w:eastAsia="SimSun" w:cs="SimSun"/>
        <w:sz w:val="27"/>
        <w:szCs w:val="27"/>
        <w:spacing w:val="-1"/>
      </w:rPr>
      <w:t>—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469"/>
      <w:rPr>
        <w:rFonts w:ascii="SimSun" w:hAnsi="SimSun" w:eastAsia="SimSun" w:cs="SimSun"/>
        <w:sz w:val="27"/>
        <w:szCs w:val="27"/>
      </w:rPr>
    </w:pPr>
    <w:r>
      <w:rPr>
        <w:rFonts w:ascii="SimSun" w:hAnsi="SimSun" w:eastAsia="SimSun" w:cs="SimSun"/>
        <w:sz w:val="27"/>
        <w:szCs w:val="27"/>
        <w:spacing w:val="-1"/>
      </w:rPr>
      <w:t>—</w:t>
    </w:r>
    <w:r>
      <w:rPr>
        <w:rFonts w:ascii="SimSun" w:hAnsi="SimSun" w:eastAsia="SimSun" w:cs="SimSun"/>
        <w:sz w:val="27"/>
        <w:szCs w:val="27"/>
        <w:spacing w:val="20"/>
      </w:rPr>
      <w:t xml:space="preserve"> </w:t>
    </w:r>
    <w:r>
      <w:rPr>
        <w:rFonts w:ascii="SimSun" w:hAnsi="SimSun" w:eastAsia="SimSun" w:cs="SimSun"/>
        <w:sz w:val="27"/>
        <w:szCs w:val="27"/>
        <w:spacing w:val="-1"/>
      </w:rPr>
      <w:t>25</w:t>
    </w:r>
    <w:r>
      <w:rPr>
        <w:rFonts w:ascii="SimSun" w:hAnsi="SimSun" w:eastAsia="SimSun" w:cs="SimSun"/>
        <w:sz w:val="27"/>
        <w:szCs w:val="27"/>
        <w:spacing w:val="14"/>
      </w:rPr>
      <w:t xml:space="preserve"> </w:t>
    </w:r>
    <w:r>
      <w:rPr>
        <w:rFonts w:ascii="SimSun" w:hAnsi="SimSun" w:eastAsia="SimSun" w:cs="SimSun"/>
        <w:sz w:val="27"/>
        <w:szCs w:val="27"/>
        <w:spacing w:val="-1"/>
      </w:rPr>
      <w:t>—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12"/>
      <w:rPr>
        <w:rFonts w:ascii="SimSun" w:hAnsi="SimSun" w:eastAsia="SimSun" w:cs="SimSun"/>
        <w:sz w:val="27"/>
        <w:szCs w:val="27"/>
      </w:rPr>
    </w:pPr>
    <w:r>
      <w:rPr>
        <w:rFonts w:ascii="SimSun" w:hAnsi="SimSun" w:eastAsia="SimSun" w:cs="SimSun"/>
        <w:sz w:val="27"/>
        <w:szCs w:val="27"/>
        <w:spacing w:val="-1"/>
      </w:rPr>
      <w:t>—</w:t>
    </w:r>
    <w:r>
      <w:rPr>
        <w:rFonts w:ascii="SimSun" w:hAnsi="SimSun" w:eastAsia="SimSun" w:cs="SimSun"/>
        <w:sz w:val="27"/>
        <w:szCs w:val="27"/>
        <w:spacing w:val="20"/>
      </w:rPr>
      <w:t xml:space="preserve"> </w:t>
    </w:r>
    <w:r>
      <w:rPr>
        <w:rFonts w:ascii="SimSun" w:hAnsi="SimSun" w:eastAsia="SimSun" w:cs="SimSun"/>
        <w:sz w:val="27"/>
        <w:szCs w:val="27"/>
        <w:spacing w:val="-1"/>
      </w:rPr>
      <w:t>26</w:t>
    </w:r>
    <w:r>
      <w:rPr>
        <w:rFonts w:ascii="SimSun" w:hAnsi="SimSun" w:eastAsia="SimSun" w:cs="SimSun"/>
        <w:sz w:val="27"/>
        <w:szCs w:val="27"/>
        <w:spacing w:val="14"/>
      </w:rPr>
      <w:t xml:space="preserve"> </w:t>
    </w:r>
    <w:r>
      <w:rPr>
        <w:rFonts w:ascii="SimSun" w:hAnsi="SimSun" w:eastAsia="SimSun" w:cs="SimSun"/>
        <w:sz w:val="27"/>
        <w:szCs w:val="27"/>
        <w:spacing w:val="-1"/>
      </w:rPr>
      <w:t>—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469"/>
      <w:rPr>
        <w:rFonts w:ascii="SimSun" w:hAnsi="SimSun" w:eastAsia="SimSun" w:cs="SimSun"/>
        <w:sz w:val="27"/>
        <w:szCs w:val="27"/>
      </w:rPr>
    </w:pPr>
    <w:r>
      <w:rPr>
        <w:rFonts w:ascii="SimSun" w:hAnsi="SimSun" w:eastAsia="SimSun" w:cs="SimSun"/>
        <w:sz w:val="27"/>
        <w:szCs w:val="27"/>
        <w:spacing w:val="-1"/>
      </w:rPr>
      <w:t>—</w:t>
    </w:r>
    <w:r>
      <w:rPr>
        <w:rFonts w:ascii="SimSun" w:hAnsi="SimSun" w:eastAsia="SimSun" w:cs="SimSun"/>
        <w:sz w:val="27"/>
        <w:szCs w:val="27"/>
        <w:spacing w:val="20"/>
      </w:rPr>
      <w:t xml:space="preserve"> </w:t>
    </w:r>
    <w:r>
      <w:rPr>
        <w:rFonts w:ascii="SimSun" w:hAnsi="SimSun" w:eastAsia="SimSun" w:cs="SimSun"/>
        <w:sz w:val="27"/>
        <w:szCs w:val="27"/>
        <w:spacing w:val="-1"/>
      </w:rPr>
      <w:t>27</w:t>
    </w:r>
    <w:r>
      <w:rPr>
        <w:rFonts w:ascii="SimSun" w:hAnsi="SimSun" w:eastAsia="SimSun" w:cs="SimSun"/>
        <w:sz w:val="27"/>
        <w:szCs w:val="27"/>
        <w:spacing w:val="14"/>
      </w:rPr>
      <w:t xml:space="preserve"> </w:t>
    </w:r>
    <w:r>
      <w:rPr>
        <w:rFonts w:ascii="SimSun" w:hAnsi="SimSun" w:eastAsia="SimSun" w:cs="SimSun"/>
        <w:sz w:val="27"/>
        <w:szCs w:val="27"/>
        <w:spacing w:val="-1"/>
      </w:rPr>
      <w:t>—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58"/>
      <w:rPr>
        <w:rFonts w:ascii="SimSun" w:hAnsi="SimSun" w:eastAsia="SimSun" w:cs="SimSun"/>
        <w:sz w:val="27"/>
        <w:szCs w:val="27"/>
      </w:rPr>
    </w:pPr>
    <w:r>
      <w:rPr>
        <w:rFonts w:ascii="SimSun" w:hAnsi="SimSun" w:eastAsia="SimSun" w:cs="SimSun"/>
        <w:sz w:val="27"/>
        <w:szCs w:val="27"/>
        <w:spacing w:val="-1"/>
      </w:rPr>
      <w:t>—</w:t>
    </w:r>
    <w:r>
      <w:rPr>
        <w:rFonts w:ascii="SimSun" w:hAnsi="SimSun" w:eastAsia="SimSun" w:cs="SimSun"/>
        <w:sz w:val="27"/>
        <w:szCs w:val="27"/>
        <w:spacing w:val="20"/>
      </w:rPr>
      <w:t xml:space="preserve"> </w:t>
    </w:r>
    <w:r>
      <w:rPr>
        <w:rFonts w:ascii="SimSun" w:hAnsi="SimSun" w:eastAsia="SimSun" w:cs="SimSun"/>
        <w:sz w:val="27"/>
        <w:szCs w:val="27"/>
        <w:spacing w:val="-1"/>
      </w:rPr>
      <w:t>28</w:t>
    </w:r>
    <w:r>
      <w:rPr>
        <w:rFonts w:ascii="SimSun" w:hAnsi="SimSun" w:eastAsia="SimSun" w:cs="SimSun"/>
        <w:sz w:val="27"/>
        <w:szCs w:val="27"/>
        <w:spacing w:val="14"/>
      </w:rPr>
      <w:t xml:space="preserve"> </w:t>
    </w:r>
    <w:r>
      <w:rPr>
        <w:rFonts w:ascii="SimSun" w:hAnsi="SimSun" w:eastAsia="SimSun" w:cs="SimSun"/>
        <w:sz w:val="27"/>
        <w:szCs w:val="27"/>
        <w:spacing w:val="-1"/>
      </w:rPr>
      <w:t>—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564"/>
      <w:rPr>
        <w:rFonts w:ascii="SimSun" w:hAnsi="SimSun" w:eastAsia="SimSun" w:cs="SimSun"/>
        <w:sz w:val="27"/>
        <w:szCs w:val="27"/>
      </w:rPr>
    </w:pPr>
    <w:r>
      <w:rPr>
        <w:rFonts w:ascii="SimSun" w:hAnsi="SimSun" w:eastAsia="SimSun" w:cs="SimSun"/>
        <w:sz w:val="27"/>
        <w:szCs w:val="27"/>
        <w:spacing w:val="-3"/>
      </w:rPr>
      <w:t>—</w:t>
    </w:r>
    <w:r>
      <w:rPr>
        <w:rFonts w:ascii="SimSun" w:hAnsi="SimSun" w:eastAsia="SimSun" w:cs="SimSun"/>
        <w:sz w:val="27"/>
        <w:szCs w:val="27"/>
        <w:spacing w:val="21"/>
      </w:rPr>
      <w:t xml:space="preserve"> </w:t>
    </w:r>
    <w:r>
      <w:rPr>
        <w:rFonts w:ascii="SimSun" w:hAnsi="SimSun" w:eastAsia="SimSun" w:cs="SimSun"/>
        <w:sz w:val="27"/>
        <w:szCs w:val="27"/>
        <w:spacing w:val="-3"/>
      </w:rPr>
      <w:t>3</w:t>
    </w:r>
    <w:r>
      <w:rPr>
        <w:rFonts w:ascii="SimSun" w:hAnsi="SimSun" w:eastAsia="SimSun" w:cs="SimSun"/>
        <w:sz w:val="27"/>
        <w:szCs w:val="27"/>
        <w:spacing w:val="13"/>
      </w:rPr>
      <w:t xml:space="preserve"> </w:t>
    </w:r>
    <w:r>
      <w:rPr>
        <w:rFonts w:ascii="SimSun" w:hAnsi="SimSun" w:eastAsia="SimSun" w:cs="SimSun"/>
        <w:sz w:val="27"/>
        <w:szCs w:val="27"/>
        <w:spacing w:val="-3"/>
      </w:rPr>
      <w:t>—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04"/>
      <w:spacing w:before="1" w:line="241" w:lineRule="auto"/>
      <w:rPr>
        <w:rFonts w:ascii="SimSun" w:hAnsi="SimSun" w:eastAsia="SimSun" w:cs="SimSun"/>
        <w:sz w:val="27"/>
        <w:szCs w:val="27"/>
      </w:rPr>
    </w:pPr>
    <w:r>
      <w:rPr>
        <w:rFonts w:ascii="SimSun" w:hAnsi="SimSun" w:eastAsia="SimSun" w:cs="SimSun"/>
        <w:sz w:val="27"/>
        <w:szCs w:val="27"/>
        <w:spacing w:val="-1"/>
      </w:rPr>
      <w:t>—</w:t>
    </w:r>
    <w:r>
      <w:rPr>
        <w:rFonts w:ascii="SimSun" w:hAnsi="SimSun" w:eastAsia="SimSun" w:cs="SimSun"/>
        <w:sz w:val="27"/>
        <w:szCs w:val="27"/>
        <w:spacing w:val="15"/>
      </w:rPr>
      <w:t xml:space="preserve"> </w:t>
    </w:r>
    <w:r>
      <w:rPr>
        <w:rFonts w:ascii="SimSun" w:hAnsi="SimSun" w:eastAsia="SimSun" w:cs="SimSun"/>
        <w:sz w:val="27"/>
        <w:szCs w:val="27"/>
        <w:spacing w:val="-1"/>
      </w:rPr>
      <w:t>4</w:t>
    </w:r>
    <w:r>
      <w:rPr>
        <w:rFonts w:ascii="SimSun" w:hAnsi="SimSun" w:eastAsia="SimSun" w:cs="SimSun"/>
        <w:sz w:val="27"/>
        <w:szCs w:val="27"/>
        <w:spacing w:val="14"/>
      </w:rPr>
      <w:t xml:space="preserve"> </w:t>
    </w:r>
    <w:r>
      <w:rPr>
        <w:rFonts w:ascii="SimSun" w:hAnsi="SimSun" w:eastAsia="SimSun" w:cs="SimSun"/>
        <w:sz w:val="27"/>
        <w:szCs w:val="27"/>
        <w:spacing w:val="-1"/>
      </w:rPr>
      <w:t>—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561"/>
      <w:rPr>
        <w:rFonts w:ascii="SimSun" w:hAnsi="SimSun" w:eastAsia="SimSun" w:cs="SimSun"/>
        <w:sz w:val="27"/>
        <w:szCs w:val="27"/>
      </w:rPr>
    </w:pPr>
    <w:r>
      <w:rPr>
        <w:rFonts w:ascii="SimSun" w:hAnsi="SimSun" w:eastAsia="SimSun" w:cs="SimSun"/>
        <w:sz w:val="27"/>
        <w:szCs w:val="27"/>
        <w:spacing w:val="-3"/>
      </w:rPr>
      <w:t>—</w:t>
    </w:r>
    <w:r>
      <w:rPr>
        <w:rFonts w:ascii="SimSun" w:hAnsi="SimSun" w:eastAsia="SimSun" w:cs="SimSun"/>
        <w:sz w:val="27"/>
        <w:szCs w:val="27"/>
        <w:spacing w:val="21"/>
      </w:rPr>
      <w:t xml:space="preserve"> </w:t>
    </w:r>
    <w:r>
      <w:rPr>
        <w:rFonts w:ascii="SimSun" w:hAnsi="SimSun" w:eastAsia="SimSun" w:cs="SimSun"/>
        <w:sz w:val="27"/>
        <w:szCs w:val="27"/>
        <w:spacing w:val="-3"/>
      </w:rPr>
      <w:t>5</w:t>
    </w:r>
    <w:r>
      <w:rPr>
        <w:rFonts w:ascii="SimSun" w:hAnsi="SimSun" w:eastAsia="SimSun" w:cs="SimSun"/>
        <w:sz w:val="27"/>
        <w:szCs w:val="27"/>
        <w:spacing w:val="13"/>
      </w:rPr>
      <w:t xml:space="preserve"> </w:t>
    </w:r>
    <w:r>
      <w:rPr>
        <w:rFonts w:ascii="SimSun" w:hAnsi="SimSun" w:eastAsia="SimSun" w:cs="SimSun"/>
        <w:sz w:val="27"/>
        <w:szCs w:val="27"/>
        <w:spacing w:val="-3"/>
      </w:rPr>
      <w:t>—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01"/>
      <w:rPr>
        <w:rFonts w:ascii="SimSun" w:hAnsi="SimSun" w:eastAsia="SimSun" w:cs="SimSun"/>
        <w:sz w:val="27"/>
        <w:szCs w:val="27"/>
      </w:rPr>
    </w:pPr>
    <w:r>
      <w:rPr>
        <w:rFonts w:ascii="SimSun" w:hAnsi="SimSun" w:eastAsia="SimSun" w:cs="SimSun"/>
        <w:sz w:val="27"/>
        <w:szCs w:val="27"/>
        <w:spacing w:val="-2"/>
      </w:rPr>
      <w:t>—</w:t>
    </w:r>
    <w:r>
      <w:rPr>
        <w:rFonts w:ascii="SimSun" w:hAnsi="SimSun" w:eastAsia="SimSun" w:cs="SimSun"/>
        <w:sz w:val="27"/>
        <w:szCs w:val="27"/>
        <w:spacing w:val="18"/>
      </w:rPr>
      <w:t xml:space="preserve"> </w:t>
    </w:r>
    <w:r>
      <w:rPr>
        <w:rFonts w:ascii="SimSun" w:hAnsi="SimSun" w:eastAsia="SimSun" w:cs="SimSun"/>
        <w:sz w:val="27"/>
        <w:szCs w:val="27"/>
        <w:spacing w:val="-2"/>
      </w:rPr>
      <w:t>6</w:t>
    </w:r>
    <w:r>
      <w:rPr>
        <w:rFonts w:ascii="SimSun" w:hAnsi="SimSun" w:eastAsia="SimSun" w:cs="SimSun"/>
        <w:sz w:val="27"/>
        <w:szCs w:val="27"/>
        <w:spacing w:val="14"/>
      </w:rPr>
      <w:t xml:space="preserve"> </w:t>
    </w:r>
    <w:r>
      <w:rPr>
        <w:rFonts w:ascii="SimSun" w:hAnsi="SimSun" w:eastAsia="SimSun" w:cs="SimSun"/>
        <w:sz w:val="27"/>
        <w:szCs w:val="27"/>
        <w:spacing w:val="-2"/>
      </w:rPr>
      <w:t>—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557"/>
      <w:rPr>
        <w:rFonts w:ascii="SimSun" w:hAnsi="SimSun" w:eastAsia="SimSun" w:cs="SimSun"/>
        <w:sz w:val="27"/>
        <w:szCs w:val="27"/>
      </w:rPr>
    </w:pPr>
    <w:r>
      <w:rPr>
        <w:rFonts w:ascii="SimSun" w:hAnsi="SimSun" w:eastAsia="SimSun" w:cs="SimSun"/>
        <w:sz w:val="27"/>
        <w:szCs w:val="27"/>
        <w:spacing w:val="-4"/>
      </w:rPr>
      <w:t>—</w:t>
    </w:r>
    <w:r>
      <w:rPr>
        <w:rFonts w:ascii="SimSun" w:hAnsi="SimSun" w:eastAsia="SimSun" w:cs="SimSun"/>
        <w:sz w:val="27"/>
        <w:szCs w:val="27"/>
        <w:spacing w:val="23"/>
      </w:rPr>
      <w:t xml:space="preserve"> </w:t>
    </w:r>
    <w:r>
      <w:rPr>
        <w:rFonts w:ascii="SimSun" w:hAnsi="SimSun" w:eastAsia="SimSun" w:cs="SimSun"/>
        <w:sz w:val="27"/>
        <w:szCs w:val="27"/>
        <w:spacing w:val="-4"/>
      </w:rPr>
      <w:t>7</w:t>
    </w:r>
    <w:r>
      <w:rPr>
        <w:rFonts w:ascii="SimSun" w:hAnsi="SimSun" w:eastAsia="SimSun" w:cs="SimSun"/>
        <w:sz w:val="27"/>
        <w:szCs w:val="27"/>
        <w:spacing w:val="13"/>
      </w:rPr>
      <w:t xml:space="preserve"> </w:t>
    </w:r>
    <w:r>
      <w:rPr>
        <w:rFonts w:ascii="SimSun" w:hAnsi="SimSun" w:eastAsia="SimSun" w:cs="SimSun"/>
        <w:sz w:val="27"/>
        <w:szCs w:val="27"/>
        <w:spacing w:val="-4"/>
      </w:rPr>
      <w:t>—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05"/>
      <w:rPr>
        <w:rFonts w:ascii="SimSun" w:hAnsi="SimSun" w:eastAsia="SimSun" w:cs="SimSun"/>
        <w:sz w:val="27"/>
        <w:szCs w:val="27"/>
      </w:rPr>
    </w:pPr>
    <w:r>
      <w:rPr>
        <w:rFonts w:ascii="SimSun" w:hAnsi="SimSun" w:eastAsia="SimSun" w:cs="SimSun"/>
        <w:sz w:val="27"/>
        <w:szCs w:val="27"/>
        <w:spacing w:val="-2"/>
      </w:rPr>
      <w:t>—</w:t>
    </w:r>
    <w:r>
      <w:rPr>
        <w:rFonts w:ascii="SimSun" w:hAnsi="SimSun" w:eastAsia="SimSun" w:cs="SimSun"/>
        <w:sz w:val="27"/>
        <w:szCs w:val="27"/>
        <w:spacing w:val="18"/>
      </w:rPr>
      <w:t xml:space="preserve"> </w:t>
    </w:r>
    <w:r>
      <w:rPr>
        <w:rFonts w:ascii="SimSun" w:hAnsi="SimSun" w:eastAsia="SimSun" w:cs="SimSun"/>
        <w:sz w:val="27"/>
        <w:szCs w:val="27"/>
        <w:spacing w:val="-2"/>
      </w:rPr>
      <w:t>8</w:t>
    </w:r>
    <w:r>
      <w:rPr>
        <w:rFonts w:ascii="SimSun" w:hAnsi="SimSun" w:eastAsia="SimSun" w:cs="SimSun"/>
        <w:sz w:val="27"/>
        <w:szCs w:val="27"/>
        <w:spacing w:val="14"/>
      </w:rPr>
      <w:t xml:space="preserve"> </w:t>
    </w:r>
    <w:r>
      <w:rPr>
        <w:rFonts w:ascii="SimSun" w:hAnsi="SimSun" w:eastAsia="SimSun" w:cs="SimSun"/>
        <w:sz w:val="27"/>
        <w:szCs w:val="27"/>
        <w:spacing w:val="-2"/>
      </w:rPr>
      <w:t>—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564"/>
      <w:rPr>
        <w:rFonts w:ascii="SimSun" w:hAnsi="SimSun" w:eastAsia="SimSun" w:cs="SimSun"/>
        <w:sz w:val="27"/>
        <w:szCs w:val="27"/>
      </w:rPr>
    </w:pPr>
    <w:r>
      <w:rPr>
        <w:rFonts w:ascii="SimSun" w:hAnsi="SimSun" w:eastAsia="SimSun" w:cs="SimSun"/>
        <w:sz w:val="27"/>
        <w:szCs w:val="27"/>
        <w:spacing w:val="-2"/>
      </w:rPr>
      <w:t>—</w:t>
    </w:r>
    <w:r>
      <w:rPr>
        <w:rFonts w:ascii="SimSun" w:hAnsi="SimSun" w:eastAsia="SimSun" w:cs="SimSun"/>
        <w:sz w:val="27"/>
        <w:szCs w:val="27"/>
        <w:spacing w:val="17"/>
      </w:rPr>
      <w:t xml:space="preserve"> </w:t>
    </w:r>
    <w:r>
      <w:rPr>
        <w:rFonts w:ascii="SimSun" w:hAnsi="SimSun" w:eastAsia="SimSun" w:cs="SimSun"/>
        <w:sz w:val="27"/>
        <w:szCs w:val="27"/>
        <w:spacing w:val="-2"/>
      </w:rPr>
      <w:t>9</w:t>
    </w:r>
    <w:r>
      <w:rPr>
        <w:rFonts w:ascii="SimSun" w:hAnsi="SimSun" w:eastAsia="SimSun" w:cs="SimSun"/>
        <w:sz w:val="27"/>
        <w:szCs w:val="27"/>
        <w:spacing w:val="13"/>
      </w:rPr>
      <w:t xml:space="preserve"> </w:t>
    </w:r>
    <w:r>
      <w:rPr>
        <w:rFonts w:ascii="SimSun" w:hAnsi="SimSun" w:eastAsia="SimSun" w:cs="SimSun"/>
        <w:sz w:val="27"/>
        <w:szCs w:val="27"/>
        <w:spacing w:val="-2"/>
      </w:rPr>
      <w:t>—</w:t>
    </w:r>
  </w:p>
</w:ft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FZXiaoBiaoSong-B05S" w:hAnsi="FZXiaoBiaoSong-B05S" w:eastAsia="FZXiaoBiaoSong-B05S" w:cs="FZXiaoBiaoSong-B05S"/>
      <w:sz w:val="72"/>
      <w:szCs w:val="7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8" Type="http://schemas.openxmlformats.org/officeDocument/2006/relationships/fontTable" Target="fontTable.xml"/><Relationship Id="rId47" Type="http://schemas.openxmlformats.org/officeDocument/2006/relationships/styles" Target="styles.xml"/><Relationship Id="rId46" Type="http://schemas.openxmlformats.org/officeDocument/2006/relationships/settings" Target="settings.xml"/><Relationship Id="rId45" Type="http://schemas.openxmlformats.org/officeDocument/2006/relationships/footer" Target="footer28.xml"/><Relationship Id="rId44" Type="http://schemas.openxmlformats.org/officeDocument/2006/relationships/image" Target="media/image17.jpeg"/><Relationship Id="rId43" Type="http://schemas.openxmlformats.org/officeDocument/2006/relationships/footer" Target="footer27.xml"/><Relationship Id="rId42" Type="http://schemas.openxmlformats.org/officeDocument/2006/relationships/image" Target="media/image16.png"/><Relationship Id="rId41" Type="http://schemas.openxmlformats.org/officeDocument/2006/relationships/footer" Target="footer26.xml"/><Relationship Id="rId40" Type="http://schemas.openxmlformats.org/officeDocument/2006/relationships/image" Target="media/image15.png"/><Relationship Id="rId4" Type="http://schemas.openxmlformats.org/officeDocument/2006/relationships/image" Target="media/image2.jpeg"/><Relationship Id="rId39" Type="http://schemas.openxmlformats.org/officeDocument/2006/relationships/footer" Target="footer25.xml"/><Relationship Id="rId38" Type="http://schemas.openxmlformats.org/officeDocument/2006/relationships/image" Target="media/image14.png"/><Relationship Id="rId37" Type="http://schemas.openxmlformats.org/officeDocument/2006/relationships/footer" Target="footer24.xml"/><Relationship Id="rId36" Type="http://schemas.openxmlformats.org/officeDocument/2006/relationships/image" Target="media/image13.png"/><Relationship Id="rId35" Type="http://schemas.openxmlformats.org/officeDocument/2006/relationships/footer" Target="footer23.xml"/><Relationship Id="rId34" Type="http://schemas.openxmlformats.org/officeDocument/2006/relationships/image" Target="media/image12.png"/><Relationship Id="rId33" Type="http://schemas.openxmlformats.org/officeDocument/2006/relationships/footer" Target="footer22.xml"/><Relationship Id="rId32" Type="http://schemas.openxmlformats.org/officeDocument/2006/relationships/image" Target="media/image11.png"/><Relationship Id="rId31" Type="http://schemas.openxmlformats.org/officeDocument/2006/relationships/footer" Target="footer21.xml"/><Relationship Id="rId30" Type="http://schemas.openxmlformats.org/officeDocument/2006/relationships/image" Target="media/image10.png"/><Relationship Id="rId3" Type="http://schemas.openxmlformats.org/officeDocument/2006/relationships/image" Target="media/image1.jpeg"/><Relationship Id="rId29" Type="http://schemas.openxmlformats.org/officeDocument/2006/relationships/footer" Target="footer20.xml"/><Relationship Id="rId28" Type="http://schemas.openxmlformats.org/officeDocument/2006/relationships/image" Target="media/image9.png"/><Relationship Id="rId27" Type="http://schemas.openxmlformats.org/officeDocument/2006/relationships/footer" Target="footer19.xml"/><Relationship Id="rId26" Type="http://schemas.openxmlformats.org/officeDocument/2006/relationships/image" Target="media/image8.png"/><Relationship Id="rId25" Type="http://schemas.openxmlformats.org/officeDocument/2006/relationships/footer" Target="footer18.xml"/><Relationship Id="rId24" Type="http://schemas.openxmlformats.org/officeDocument/2006/relationships/image" Target="media/image7.png"/><Relationship Id="rId23" Type="http://schemas.openxmlformats.org/officeDocument/2006/relationships/footer" Target="footer17.xml"/><Relationship Id="rId22" Type="http://schemas.openxmlformats.org/officeDocument/2006/relationships/image" Target="media/image6.png"/><Relationship Id="rId21" Type="http://schemas.openxmlformats.org/officeDocument/2006/relationships/footer" Target="footer16.xml"/><Relationship Id="rId20" Type="http://schemas.openxmlformats.org/officeDocument/2006/relationships/footer" Target="footer15.xml"/><Relationship Id="rId2" Type="http://schemas.openxmlformats.org/officeDocument/2006/relationships/footer" Target="footer2.xml"/><Relationship Id="rId19" Type="http://schemas.openxmlformats.org/officeDocument/2006/relationships/footer" Target="footer14.xml"/><Relationship Id="rId18" Type="http://schemas.openxmlformats.org/officeDocument/2006/relationships/footer" Target="footer13.xml"/><Relationship Id="rId17" Type="http://schemas.openxmlformats.org/officeDocument/2006/relationships/footer" Target="footer12.xml"/><Relationship Id="rId16" Type="http://schemas.openxmlformats.org/officeDocument/2006/relationships/footer" Target="footer11.xml"/><Relationship Id="rId15" Type="http://schemas.openxmlformats.org/officeDocument/2006/relationships/footer" Target="footer10.xml"/><Relationship Id="rId14" Type="http://schemas.openxmlformats.org/officeDocument/2006/relationships/footer" Target="footer9.xml"/><Relationship Id="rId13" Type="http://schemas.openxmlformats.org/officeDocument/2006/relationships/footer" Target="footer8.xml"/><Relationship Id="rId12" Type="http://schemas.openxmlformats.org/officeDocument/2006/relationships/footer" Target="footer7.xml"/><Relationship Id="rId11" Type="http://schemas.openxmlformats.org/officeDocument/2006/relationships/footer" Target="footer6.xml"/><Relationship Id="rId10" Type="http://schemas.openxmlformats.org/officeDocument/2006/relationships/footer" Target="footer5.xml"/><Relationship Id="rId1" Type="http://schemas.openxmlformats.org/officeDocument/2006/relationships/footer" Target="foot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PScript5.dll Version 5.2.2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&lt;BCC3C9CCCEF1D7D63532BAC5A3A8C9CCCEF1A1A2B2C6D5FEA1A2CEC4C2C3A1A2BCE0B9DCA1A2B5B5B0B8A3A92E646F6378&gt;</dc:title>
  <dc:creator>Administrator</dc:creator>
  <dcterms:created xsi:type="dcterms:W3CDTF">2024-07-08T16:28:17Z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2025-07-28T15:57:07</vt:filetime>
  </property>
</Properties>
</file>